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720" w:firstLine="0"/>
        <w:jc w:val="both"/>
        <w:rPr>
          <w:rFonts w:ascii="Arial" w:cs="Arial" w:eastAsia="Arial" w:hAnsi="Arial"/>
          <w:b w:val="1"/>
          <w:bCs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-1079499</wp:posOffset>
            </wp:positionH>
            <wp:positionV relativeFrom="paragraph">
              <wp:posOffset>-899904</wp:posOffset>
            </wp:positionV>
            <wp:extent cx="7756634" cy="10971087"/>
            <wp:effectExtent b="0" l="0" r="0" t="0"/>
            <wp:wrapNone/>
            <wp:docPr id="1379944059" name="image14.png"/>
            <a:graphic>
              <a:graphicData uri="http://schemas.openxmlformats.org/drawingml/2006/picture">
                <pic:pic>
                  <pic:nvPicPr>
                    <pic:cNvPr id="0" name="image14.png"/>
                    <pic:cNvPicPr preferRelativeResize="0"/>
                  </pic:nvPicPr>
                  <pic:blipFill>
                    <a:blip r:embed="rId7"/>
                    <a:srcRect b="0" l="0" r="0" t="0"/>
                    <a:stretch>
                      <a:fillRect/>
                    </a:stretch>
                  </pic:blipFill>
                  <pic:spPr>
                    <a:xfrm>
                      <a:off x="0" y="0"/>
                      <a:ext cx="7756634" cy="10971087"/>
                    </a:xfrm>
                    <a:prstGeom prst="rect"/>
                    <a:ln/>
                  </pic:spPr>
                </pic:pic>
              </a:graphicData>
            </a:graphic>
          </wp:anchor>
        </w:drawing>
      </w:r>
    </w:p>
    <w:p w:rsidR="00000000" w:rsidDel="00000000" w:rsidP="00000000" w:rsidRDefault="00000000" w:rsidRPr="00000000" w14:paraId="00000002">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3">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4">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5">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6">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7">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8">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9">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A">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B">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C">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D">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E">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F">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0">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1">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2">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3">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4">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5">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6">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7">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8">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9">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A">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B">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C">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D">
      <w:pPr>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1E">
      <w:pPr>
        <w:spacing w:after="0" w:line="360"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1F">
      <w:pPr>
        <w:spacing w:after="0" w:line="36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Director Distrital de Política Jurídica</w:t>
      </w:r>
    </w:p>
    <w:p w:rsidR="00000000" w:rsidDel="00000000" w:rsidP="00000000" w:rsidRDefault="00000000" w:rsidRPr="00000000" w14:paraId="00000020">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Carlos Andrés Bernal Casas</w:t>
      </w:r>
    </w:p>
    <w:p w:rsidR="00000000" w:rsidDel="00000000" w:rsidP="00000000" w:rsidRDefault="00000000" w:rsidRPr="00000000" w14:paraId="00000021">
      <w:pPr>
        <w:spacing w:after="0"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2">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María Fernanda Cruz Rodríguez</w:t>
      </w:r>
    </w:p>
    <w:p w:rsidR="00000000" w:rsidDel="00000000" w:rsidP="00000000" w:rsidRDefault="00000000" w:rsidRPr="00000000" w14:paraId="00000023">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Javier Gaona Trujillo</w:t>
      </w:r>
    </w:p>
    <w:p w:rsidR="00000000" w:rsidDel="00000000" w:rsidP="00000000" w:rsidRDefault="00000000" w:rsidRPr="00000000" w14:paraId="00000024">
      <w:pPr>
        <w:spacing w:after="0"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5">
      <w:pPr>
        <w:spacing w:after="0"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6">
      <w:pPr>
        <w:spacing w:after="0" w:line="36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Observatorio Distrital de Contratación y Lucha Anticorrupción</w:t>
      </w:r>
    </w:p>
    <w:p w:rsidR="00000000" w:rsidDel="00000000" w:rsidP="00000000" w:rsidRDefault="00000000" w:rsidRPr="00000000" w14:paraId="00000027">
      <w:pPr>
        <w:spacing w:after="0"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8">
      <w:pPr>
        <w:spacing w:after="0" w:line="360" w:lineRule="auto"/>
        <w:jc w:val="center"/>
        <w:rPr>
          <w:rFonts w:ascii="Arial" w:cs="Arial" w:eastAsia="Arial" w:hAnsi="Arial"/>
        </w:rPr>
      </w:pPr>
      <w:r w:rsidDel="00000000" w:rsidR="00000000" w:rsidRPr="00000000">
        <w:rPr>
          <w:rFonts w:ascii="Arial" w:cs="Arial" w:eastAsia="Arial" w:hAnsi="Arial"/>
          <w:b w:val="1"/>
          <w:bCs w:val="1"/>
          <w:rtl w:val="0"/>
        </w:rPr>
        <w:t xml:space="preserve">Secretaría Jurídica Distrital</w:t>
      </w:r>
      <w:r w:rsidDel="00000000" w:rsidR="00000000" w:rsidRPr="00000000">
        <w:rPr>
          <w:rtl w:val="0"/>
        </w:rPr>
      </w:r>
    </w:p>
    <w:p w:rsidR="00000000" w:rsidDel="00000000" w:rsidP="00000000" w:rsidRDefault="00000000" w:rsidRPr="00000000" w14:paraId="00000029">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Sede principal Carrera 8° No. 10 – 65</w:t>
      </w:r>
    </w:p>
    <w:p w:rsidR="00000000" w:rsidDel="00000000" w:rsidP="00000000" w:rsidRDefault="00000000" w:rsidRPr="00000000" w14:paraId="0000002A">
      <w:pPr>
        <w:spacing w:after="0" w:line="360" w:lineRule="auto"/>
        <w:jc w:val="center"/>
        <w:rPr>
          <w:rFonts w:ascii="Arial" w:cs="Arial" w:eastAsia="Arial" w:hAnsi="Arial"/>
        </w:rPr>
      </w:pPr>
      <w:hyperlink r:id="rId8">
        <w:r w:rsidDel="00000000" w:rsidR="00000000" w:rsidRPr="00000000">
          <w:rPr>
            <w:rFonts w:ascii="Arial" w:cs="Arial" w:eastAsia="Arial" w:hAnsi="Arial"/>
            <w:color w:val="0000ff"/>
            <w:u w:val="single"/>
            <w:rtl w:val="0"/>
          </w:rPr>
          <w:t xml:space="preserve">www.secretariajuridica.gov.co</w:t>
        </w:r>
      </w:hyperlink>
      <w:r w:rsidDel="00000000" w:rsidR="00000000" w:rsidRPr="00000000">
        <w:rPr>
          <w:rFonts w:ascii="Arial" w:cs="Arial" w:eastAsia="Arial" w:hAnsi="Arial"/>
          <w:rtl w:val="0"/>
        </w:rPr>
        <w:t xml:space="preserve">.</w:t>
      </w:r>
    </w:p>
    <w:p w:rsidR="00000000" w:rsidDel="00000000" w:rsidP="00000000" w:rsidRDefault="00000000" w:rsidRPr="00000000" w14:paraId="0000002B">
      <w:pPr>
        <w:spacing w:after="0" w:line="360"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C">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Edición No. 1</w:t>
      </w:r>
    </w:p>
    <w:p w:rsidR="00000000" w:rsidDel="00000000" w:rsidP="00000000" w:rsidRDefault="00000000" w:rsidRPr="00000000" w14:paraId="0000002D">
      <w:pPr>
        <w:spacing w:after="0" w:line="360" w:lineRule="auto"/>
        <w:jc w:val="center"/>
        <w:rPr>
          <w:rFonts w:ascii="Arial" w:cs="Arial" w:eastAsia="Arial" w:hAnsi="Arial"/>
        </w:rPr>
      </w:pPr>
      <w:r w:rsidDel="00000000" w:rsidR="00000000" w:rsidRPr="00000000">
        <w:rPr>
          <w:rFonts w:ascii="Arial" w:cs="Arial" w:eastAsia="Arial" w:hAnsi="Arial"/>
          <w:rtl w:val="0"/>
        </w:rPr>
        <w:t xml:space="preserve">Febrero 2026</w:t>
      </w:r>
    </w:p>
    <w:p w:rsidR="00000000" w:rsidDel="00000000" w:rsidP="00000000" w:rsidRDefault="00000000" w:rsidRPr="00000000" w14:paraId="0000002E">
      <w:pPr>
        <w:spacing w:after="0" w:line="360" w:lineRule="auto"/>
        <w:jc w:val="center"/>
        <w:rPr>
          <w:rFonts w:ascii="Arial" w:cs="Arial" w:eastAsia="Arial" w:hAnsi="Arial"/>
          <w:color w:val="365f91"/>
        </w:rPr>
      </w:pPr>
      <w:r w:rsidDel="00000000" w:rsidR="00000000" w:rsidRPr="00000000">
        <w:rPr>
          <w:rtl w:val="0"/>
        </w:rPr>
      </w:r>
    </w:p>
    <w:p w:rsidR="00000000" w:rsidDel="00000000" w:rsidP="00000000" w:rsidRDefault="00000000" w:rsidRPr="00000000" w14:paraId="0000002F">
      <w:pPr>
        <w:spacing w:after="0" w:line="360" w:lineRule="auto"/>
        <w:jc w:val="center"/>
        <w:rPr>
          <w:rFonts w:ascii="Arial" w:cs="Arial" w:eastAsia="Arial" w:hAnsi="Arial"/>
          <w:color w:val="365f9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1370181</wp:posOffset>
                </wp:positionH>
                <wp:positionV relativeFrom="paragraph">
                  <wp:posOffset>261119</wp:posOffset>
                </wp:positionV>
                <wp:extent cx="4454703" cy="1145540"/>
                <wp:effectExtent b="0" l="0" r="0" t="0"/>
                <wp:wrapNone/>
                <wp:docPr id="1379944053" name=""/>
                <a:graphic>
                  <a:graphicData uri="http://schemas.microsoft.com/office/word/2010/wordprocessingShape">
                    <wps:wsp>
                      <wps:cNvSpPr/>
                      <wps:cNvPr id="2" name="Shape 2"/>
                      <wps:spPr>
                        <a:xfrm>
                          <a:off x="3128174" y="3216755"/>
                          <a:ext cx="4435653" cy="1126490"/>
                        </a:xfrm>
                        <a:prstGeom prst="rect">
                          <a:avLst/>
                        </a:prstGeom>
                        <a:noFill/>
                        <a:ln>
                          <a:noFill/>
                        </a:ln>
                      </wps:spPr>
                      <wps:txbx>
                        <w:txbxContent>
                          <w:p w:rsidR="00000000" w:rsidDel="00000000" w:rsidP="00000000" w:rsidRDefault="00000000" w:rsidRPr="00000000">
                            <w:pPr>
                              <w:spacing w:after="0" w:before="0" w:line="275.00000953674316"/>
                              <w:ind w:left="0" w:right="0" w:firstLine="0"/>
                              <w:jc w:val="both"/>
                              <w:textDirection w:val="btLr"/>
                            </w:pPr>
                            <w:r w:rsidDel="00000000" w:rsidR="00000000" w:rsidRPr="00000000">
                              <w:rPr>
                                <w:rFonts w:ascii="Arial" w:cs="Arial" w:eastAsia="Arial" w:hAnsi="Arial"/>
                                <w:b w:val="0"/>
                                <w:i w:val="0"/>
                                <w:smallCaps w:val="0"/>
                                <w:strike w:val="0"/>
                                <w:color w:val="000000"/>
                                <w:sz w:val="22"/>
                                <w:vertAlign w:val="baseline"/>
                              </w:rPr>
                              <w:t xml:space="preserve">Queda prohibida toda la reproducción por cualquier medio sin previa autorización escrita del editor. Esta obra fue financiada por la Secretaría Jurídica Distrital, el contenido de esta publicación no representa la opinión del Distrito Capital ni de la Secretaría Jurídica Distrital y es responsabilidad del autor.</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1370181</wp:posOffset>
                </wp:positionH>
                <wp:positionV relativeFrom="paragraph">
                  <wp:posOffset>261119</wp:posOffset>
                </wp:positionV>
                <wp:extent cx="4454703" cy="1145540"/>
                <wp:effectExtent b="0" l="0" r="0" t="0"/>
                <wp:wrapNone/>
                <wp:docPr id="1379944053" name="image17.png"/>
                <a:graphic>
                  <a:graphicData uri="http://schemas.openxmlformats.org/drawingml/2006/picture">
                    <pic:pic>
                      <pic:nvPicPr>
                        <pic:cNvPr id="0" name="image17.png"/>
                        <pic:cNvPicPr preferRelativeResize="0"/>
                      </pic:nvPicPr>
                      <pic:blipFill>
                        <a:blip r:embed="rId9"/>
                        <a:srcRect/>
                        <a:stretch>
                          <a:fillRect/>
                        </a:stretch>
                      </pic:blipFill>
                      <pic:spPr>
                        <a:xfrm>
                          <a:off x="0" y="0"/>
                          <a:ext cx="4454703" cy="114554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-4916</wp:posOffset>
            </wp:positionH>
            <wp:positionV relativeFrom="paragraph">
              <wp:posOffset>418465</wp:posOffset>
            </wp:positionV>
            <wp:extent cx="1411605" cy="572770"/>
            <wp:effectExtent b="0" l="0" r="0" t="0"/>
            <wp:wrapTopAndBottom distB="0" distT="0"/>
            <wp:docPr descr="Texto&#10;&#10;El contenido generado por IA puede ser incorrecto." id="1379944054" name="image4.png"/>
            <a:graphic>
              <a:graphicData uri="http://schemas.openxmlformats.org/drawingml/2006/picture">
                <pic:pic>
                  <pic:nvPicPr>
                    <pic:cNvPr descr="Texto&#10;&#10;El contenido generado por IA puede ser incorrecto." id="0" name="image4.png"/>
                    <pic:cNvPicPr preferRelativeResize="0"/>
                  </pic:nvPicPr>
                  <pic:blipFill>
                    <a:blip r:embed="rId10"/>
                    <a:srcRect b="29429" l="0" r="76403" t="10300"/>
                    <a:stretch>
                      <a:fillRect/>
                    </a:stretch>
                  </pic:blipFill>
                  <pic:spPr>
                    <a:xfrm>
                      <a:off x="0" y="0"/>
                      <a:ext cx="1411605" cy="572770"/>
                    </a:xfrm>
                    <a:prstGeom prst="rect"/>
                    <a:ln/>
                  </pic:spPr>
                </pic:pic>
              </a:graphicData>
            </a:graphic>
          </wp:anchor>
        </w:drawing>
      </w:r>
    </w:p>
    <w:p w:rsidR="00000000" w:rsidDel="00000000" w:rsidP="00000000" w:rsidRDefault="00000000" w:rsidRPr="00000000" w14:paraId="00000030">
      <w:pPr>
        <w:keepNext w:val="1"/>
        <w:keepLines w:val="1"/>
        <w:spacing w:after="0" w:line="360" w:lineRule="auto"/>
        <w:ind w:firstLine="720"/>
        <w:jc w:val="both"/>
        <w:rPr>
          <w:rFonts w:ascii="Arial" w:cs="Arial" w:eastAsia="Arial" w:hAnsi="Arial"/>
        </w:rPr>
      </w:pPr>
      <w:r w:rsidDel="00000000" w:rsidR="00000000" w:rsidRPr="00000000">
        <w:rPr>
          <w:rtl w:val="0"/>
        </w:rPr>
      </w:r>
    </w:p>
    <w:p w:rsidR="00000000" w:rsidDel="00000000" w:rsidP="00000000" w:rsidRDefault="00000000" w:rsidRPr="00000000" w14:paraId="00000031">
      <w:pPr>
        <w:keepNext w:val="1"/>
        <w:keepLines w:val="1"/>
        <w:spacing w:after="0" w:line="360" w:lineRule="auto"/>
        <w:ind w:firstLine="720"/>
        <w:jc w:val="both"/>
        <w:rPr>
          <w:rFonts w:ascii="Arial" w:cs="Arial" w:eastAsia="Arial" w:hAnsi="Arial"/>
        </w:rPr>
      </w:pPr>
      <w:r w:rsidDel="00000000" w:rsidR="00000000" w:rsidRPr="00000000">
        <w:rPr>
          <w:rtl w:val="0"/>
        </w:rPr>
      </w:r>
    </w:p>
    <w:p w:rsidR="00000000" w:rsidDel="00000000" w:rsidP="00000000" w:rsidRDefault="00000000" w:rsidRPr="00000000" w14:paraId="00000032">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3">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4">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5">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6">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7">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8">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9">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A">
      <w:pPr>
        <w:ind w:left="720" w:firstLine="0"/>
        <w:jc w:val="both"/>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3B">
      <w:pPr>
        <w:numPr>
          <w:ilvl w:val="0"/>
          <w:numId w:val="1"/>
        </w:numPr>
        <w:ind w:left="283" w:hanging="283"/>
        <w:jc w:val="both"/>
        <w:rPr>
          <w:rFonts w:ascii="Arial" w:cs="Arial" w:eastAsia="Arial" w:hAnsi="Arial"/>
          <w:b w:val="1"/>
          <w:bCs w:val="1"/>
        </w:rPr>
      </w:pPr>
      <w:r w:rsidDel="00000000" w:rsidR="00000000" w:rsidRPr="00000000">
        <w:rPr>
          <w:rFonts w:ascii="Arial" w:cs="Arial" w:eastAsia="Arial" w:hAnsi="Arial"/>
          <w:b w:val="1"/>
          <w:bCs w:val="1"/>
          <w:rtl w:val="0"/>
        </w:rPr>
        <w:t xml:space="preserve">Introducción</w:t>
      </w:r>
    </w:p>
    <w:p w:rsidR="00000000" w:rsidDel="00000000" w:rsidP="00000000" w:rsidRDefault="00000000" w:rsidRPr="00000000" w14:paraId="0000003C">
      <w:pPr>
        <w:jc w:val="both"/>
        <w:rPr>
          <w:rFonts w:ascii="Arial" w:cs="Arial" w:eastAsia="Arial" w:hAnsi="Arial"/>
        </w:rPr>
      </w:pPr>
      <w:r w:rsidDel="00000000" w:rsidR="00000000" w:rsidRPr="00000000">
        <w:rPr>
          <w:rFonts w:ascii="Arial" w:cs="Arial" w:eastAsia="Arial" w:hAnsi="Arial"/>
          <w:rtl w:val="0"/>
        </w:rPr>
        <w:t xml:space="preserve">El Observatorio Distrital de Contratación y Lucha Anticorrupción (ODCLA), presenta el tablero de Situaciones de Análisis y Mejora en la contratación estatal como una herramienta para identificar posibles fallas e información relevante para la correcta gestión contractual, tales como: i) deficiencias en la planeación, ii) contratistas con incumplimientos, sanciones y multas, iii) número excesivo de modificaciones de los contratos, iv) vencimiento del plazo de liquidación bilateral y unilateral, con el fin de advertir errores, priorizar su atención y brindar información clara a las entidades distritales. </w:t>
      </w:r>
    </w:p>
    <w:p w:rsidR="00000000" w:rsidDel="00000000" w:rsidP="00000000" w:rsidRDefault="00000000" w:rsidRPr="00000000" w14:paraId="0000003D">
      <w:pPr>
        <w:jc w:val="both"/>
        <w:rPr>
          <w:rFonts w:ascii="Arial" w:cs="Arial" w:eastAsia="Arial" w:hAnsi="Arial"/>
        </w:rPr>
      </w:pPr>
      <w:r w:rsidDel="00000000" w:rsidR="00000000" w:rsidRPr="00000000">
        <w:rPr>
          <w:rFonts w:ascii="Arial" w:cs="Arial" w:eastAsia="Arial" w:hAnsi="Arial"/>
          <w:rtl w:val="0"/>
        </w:rPr>
        <w:t xml:space="preserve">El tablero presenta información para el análisis de la contratación del Distrito, a partir de herramientas de visualización de fácil uso para cualquier tipo de usuario. Además, expone la información desde distintos puntos de análisis y toma como fuente los datos ofrecidos en Datos Abiertos SECOP.</w:t>
      </w:r>
    </w:p>
    <w:p w:rsidR="00000000" w:rsidDel="00000000" w:rsidP="00000000" w:rsidRDefault="00000000" w:rsidRPr="00000000" w14:paraId="0000003E">
      <w:pPr>
        <w:jc w:val="both"/>
        <w:rPr>
          <w:rFonts w:ascii="Arial" w:cs="Arial" w:eastAsia="Arial" w:hAnsi="Arial"/>
        </w:rPr>
      </w:pPr>
      <w:r w:rsidDel="00000000" w:rsidR="00000000" w:rsidRPr="00000000">
        <w:rPr>
          <w:rFonts w:ascii="Arial" w:cs="Arial" w:eastAsia="Arial" w:hAnsi="Arial"/>
        </w:rPr>
        <w:drawing>
          <wp:inline distB="114300" distT="114300" distL="114300" distR="114300">
            <wp:extent cx="5612765" cy="3149600"/>
            <wp:effectExtent b="0" l="0" r="0" t="0"/>
            <wp:docPr id="1379944055" name="image7.png"/>
            <a:graphic>
              <a:graphicData uri="http://schemas.openxmlformats.org/drawingml/2006/picture">
                <pic:pic>
                  <pic:nvPicPr>
                    <pic:cNvPr id="0" name="image7.png"/>
                    <pic:cNvPicPr preferRelativeResize="0"/>
                  </pic:nvPicPr>
                  <pic:blipFill>
                    <a:blip r:embed="rId11"/>
                    <a:srcRect b="0" l="0" r="0" t="0"/>
                    <a:stretch>
                      <a:fillRect/>
                    </a:stretch>
                  </pic:blipFill>
                  <pic:spPr>
                    <a:xfrm>
                      <a:off x="0" y="0"/>
                      <a:ext cx="5612765"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numPr>
          <w:ilvl w:val="0"/>
          <w:numId w:val="1"/>
        </w:numPr>
        <w:ind w:left="283" w:hanging="283"/>
        <w:jc w:val="both"/>
        <w:rPr>
          <w:rFonts w:ascii="Arial" w:cs="Arial" w:eastAsia="Arial" w:hAnsi="Arial"/>
          <w:b w:val="1"/>
          <w:bCs w:val="1"/>
        </w:rPr>
      </w:pPr>
      <w:r w:rsidDel="00000000" w:rsidR="00000000" w:rsidRPr="00000000">
        <w:rPr>
          <w:rFonts w:ascii="Arial" w:cs="Arial" w:eastAsia="Arial" w:hAnsi="Arial"/>
          <w:b w:val="1"/>
          <w:bCs w:val="1"/>
          <w:rtl w:val="0"/>
        </w:rPr>
        <w:t xml:space="preserve">Objetivos</w:t>
      </w:r>
    </w:p>
    <w:p w:rsidR="00000000" w:rsidDel="00000000" w:rsidP="00000000" w:rsidRDefault="00000000" w:rsidRPr="00000000" w14:paraId="00000040">
      <w:pPr>
        <w:jc w:val="both"/>
        <w:rPr>
          <w:rFonts w:ascii="Arial" w:cs="Arial" w:eastAsia="Arial" w:hAnsi="Arial"/>
          <w:b w:val="1"/>
          <w:bCs w:val="1"/>
        </w:rPr>
      </w:pPr>
      <w:r w:rsidDel="00000000" w:rsidR="00000000" w:rsidRPr="00000000">
        <w:rPr>
          <w:rFonts w:ascii="Arial" w:cs="Arial" w:eastAsia="Arial" w:hAnsi="Arial"/>
          <w:b w:val="1"/>
          <w:bCs w:val="1"/>
          <w:rtl w:val="0"/>
        </w:rPr>
        <w:t xml:space="preserve">2.1. General</w:t>
      </w:r>
    </w:p>
    <w:p w:rsidR="00000000" w:rsidDel="00000000" w:rsidP="00000000" w:rsidRDefault="00000000" w:rsidRPr="00000000" w14:paraId="00000041">
      <w:pPr>
        <w:jc w:val="both"/>
        <w:rPr>
          <w:rFonts w:ascii="Arial" w:cs="Arial" w:eastAsia="Arial" w:hAnsi="Arial"/>
        </w:rPr>
      </w:pPr>
      <w:r w:rsidDel="00000000" w:rsidR="00000000" w:rsidRPr="00000000">
        <w:rPr>
          <w:rFonts w:ascii="Arial" w:cs="Arial" w:eastAsia="Arial" w:hAnsi="Arial"/>
          <w:rtl w:val="0"/>
        </w:rPr>
        <w:t xml:space="preserve">Presentar de forma gráfica y cuantitativa la información de la contratación del Distrito para su análisis desde distintas perspectivas y definir políticas de mejora. Esta información está dirigida a la Secretaría Jurídica, las dependencias del Distrito y el público en general.</w:t>
      </w:r>
    </w:p>
    <w:p w:rsidR="00000000" w:rsidDel="00000000" w:rsidP="00000000" w:rsidRDefault="00000000" w:rsidRPr="00000000" w14:paraId="00000042">
      <w:pPr>
        <w:jc w:val="both"/>
        <w:rPr>
          <w:rFonts w:ascii="Arial" w:cs="Arial" w:eastAsia="Arial" w:hAnsi="Arial"/>
        </w:rPr>
      </w:pPr>
      <w:r w:rsidDel="00000000" w:rsidR="00000000" w:rsidRPr="00000000">
        <w:rPr>
          <w:rFonts w:ascii="Arial" w:cs="Arial" w:eastAsia="Arial" w:hAnsi="Arial"/>
          <w:b w:val="1"/>
          <w:bCs w:val="1"/>
          <w:rtl w:val="0"/>
        </w:rPr>
        <w:t xml:space="preserve">2.2. Específicos</w:t>
      </w:r>
      <w:r w:rsidDel="00000000" w:rsidR="00000000" w:rsidRPr="00000000">
        <w:rPr>
          <w:rtl w:val="0"/>
        </w:rPr>
      </w:r>
    </w:p>
    <w:p w:rsidR="00000000" w:rsidDel="00000000" w:rsidP="00000000" w:rsidRDefault="00000000" w:rsidRPr="00000000" w14:paraId="00000043">
      <w:pPr>
        <w:numPr>
          <w:ilvl w:val="0"/>
          <w:numId w:val="14"/>
        </w:numPr>
        <w:spacing w:after="0" w:lineRule="auto"/>
        <w:ind w:left="283" w:hanging="283"/>
        <w:jc w:val="both"/>
        <w:rPr>
          <w:rFonts w:ascii="Arial" w:cs="Arial" w:eastAsia="Arial" w:hAnsi="Arial"/>
        </w:rPr>
      </w:pPr>
      <w:r w:rsidDel="00000000" w:rsidR="00000000" w:rsidRPr="00000000">
        <w:rPr>
          <w:rFonts w:ascii="Arial" w:cs="Arial" w:eastAsia="Arial" w:hAnsi="Arial"/>
          <w:rtl w:val="0"/>
        </w:rPr>
        <w:t xml:space="preserve">Advertir errores en los procesos contractuales.</w:t>
      </w:r>
    </w:p>
    <w:p w:rsidR="00000000" w:rsidDel="00000000" w:rsidP="00000000" w:rsidRDefault="00000000" w:rsidRPr="00000000" w14:paraId="00000044">
      <w:pPr>
        <w:numPr>
          <w:ilvl w:val="0"/>
          <w:numId w:val="14"/>
        </w:numPr>
        <w:spacing w:after="0" w:lineRule="auto"/>
        <w:ind w:left="283" w:hanging="283"/>
        <w:jc w:val="both"/>
        <w:rPr>
          <w:rFonts w:ascii="Arial" w:cs="Arial" w:eastAsia="Arial" w:hAnsi="Arial"/>
        </w:rPr>
      </w:pPr>
      <w:r w:rsidDel="00000000" w:rsidR="00000000" w:rsidRPr="00000000">
        <w:rPr>
          <w:rFonts w:ascii="Arial" w:cs="Arial" w:eastAsia="Arial" w:hAnsi="Arial"/>
          <w:rtl w:val="0"/>
        </w:rPr>
        <w:t xml:space="preserve">Darle especial atención a esos procesos.</w:t>
      </w:r>
    </w:p>
    <w:p w:rsidR="00000000" w:rsidDel="00000000" w:rsidP="00000000" w:rsidRDefault="00000000" w:rsidRPr="00000000" w14:paraId="00000045">
      <w:pPr>
        <w:numPr>
          <w:ilvl w:val="0"/>
          <w:numId w:val="14"/>
        </w:numPr>
        <w:spacing w:after="0" w:lineRule="auto"/>
        <w:ind w:left="283" w:hanging="283"/>
        <w:jc w:val="both"/>
        <w:rPr>
          <w:rFonts w:ascii="Arial" w:cs="Arial" w:eastAsia="Arial" w:hAnsi="Arial"/>
        </w:rPr>
      </w:pPr>
      <w:r w:rsidDel="00000000" w:rsidR="00000000" w:rsidRPr="00000000">
        <w:rPr>
          <w:rFonts w:ascii="Arial" w:cs="Arial" w:eastAsia="Arial" w:hAnsi="Arial"/>
          <w:rtl w:val="0"/>
        </w:rPr>
        <w:t xml:space="preserve">Contribuir a que las entidades distritales accedan a información clara y específica.</w:t>
      </w:r>
    </w:p>
    <w:p w:rsidR="00000000" w:rsidDel="00000000" w:rsidP="00000000" w:rsidRDefault="00000000" w:rsidRPr="00000000" w14:paraId="00000046">
      <w:pPr>
        <w:numPr>
          <w:ilvl w:val="0"/>
          <w:numId w:val="14"/>
        </w:numPr>
        <w:ind w:left="283" w:hanging="283"/>
        <w:jc w:val="both"/>
        <w:rPr>
          <w:rFonts w:ascii="Arial" w:cs="Arial" w:eastAsia="Arial" w:hAnsi="Arial"/>
        </w:rPr>
      </w:pPr>
      <w:r w:rsidDel="00000000" w:rsidR="00000000" w:rsidRPr="00000000">
        <w:rPr>
          <w:rFonts w:ascii="Arial" w:cs="Arial" w:eastAsia="Arial" w:hAnsi="Arial"/>
          <w:rtl w:val="0"/>
        </w:rPr>
        <w:t xml:space="preserve">Prevenir la configuración de hallazgos con incidencia administrativa, disciplinaria, fiscal o penal en la gestión contractual de las entidades distritales, así como la posterior vinculación de los servidores públicos que participaron en esos procesos contractuales a investigaciones de responsabilidad fiscal, disciplinaria y penal.</w:t>
      </w:r>
    </w:p>
    <w:p w:rsidR="00000000" w:rsidDel="00000000" w:rsidP="00000000" w:rsidRDefault="00000000" w:rsidRPr="00000000" w14:paraId="00000047">
      <w:pPr>
        <w:numPr>
          <w:ilvl w:val="0"/>
          <w:numId w:val="1"/>
        </w:numPr>
        <w:ind w:left="283" w:hanging="283"/>
        <w:jc w:val="both"/>
        <w:rPr>
          <w:rFonts w:ascii="Arial" w:cs="Arial" w:eastAsia="Arial" w:hAnsi="Arial"/>
          <w:b w:val="1"/>
          <w:bCs w:val="1"/>
        </w:rPr>
      </w:pPr>
      <w:r w:rsidDel="00000000" w:rsidR="00000000" w:rsidRPr="00000000">
        <w:rPr>
          <w:rFonts w:ascii="Arial" w:cs="Arial" w:eastAsia="Arial" w:hAnsi="Arial"/>
          <w:b w:val="1"/>
          <w:bCs w:val="1"/>
          <w:rtl w:val="0"/>
        </w:rPr>
        <w:t xml:space="preserve">Software de visualizaciones y prerrequisitos </w:t>
      </w:r>
    </w:p>
    <w:p w:rsidR="00000000" w:rsidDel="00000000" w:rsidP="00000000" w:rsidRDefault="00000000" w:rsidRPr="00000000" w14:paraId="00000048">
      <w:pPr>
        <w:jc w:val="both"/>
        <w:rPr>
          <w:rFonts w:ascii="Arial" w:cs="Arial" w:eastAsia="Arial" w:hAnsi="Arial"/>
        </w:rPr>
      </w:pPr>
      <w:r w:rsidDel="00000000" w:rsidR="00000000" w:rsidRPr="00000000">
        <w:rPr>
          <w:rFonts w:ascii="Arial" w:cs="Arial" w:eastAsia="Arial" w:hAnsi="Arial"/>
          <w:rtl w:val="0"/>
        </w:rPr>
        <w:t xml:space="preserve">Se ha definido Power BI como el software para realizar el proceso de ETL y visualización, por cuanto ofrece todas las funcionalidades requeridas.</w:t>
      </w:r>
      <w:r w:rsidDel="00000000" w:rsidR="00000000" w:rsidRPr="00000000">
        <w:drawing>
          <wp:anchor allowOverlap="1" behindDoc="0" distB="0" distT="0" distL="114300" distR="114300" hidden="0" layoutInCell="1" locked="0" relativeHeight="0" simplePos="0">
            <wp:simplePos x="0" y="0"/>
            <wp:positionH relativeFrom="column">
              <wp:posOffset>257175</wp:posOffset>
            </wp:positionH>
            <wp:positionV relativeFrom="paragraph">
              <wp:posOffset>428625</wp:posOffset>
            </wp:positionV>
            <wp:extent cx="4973638" cy="2970740"/>
            <wp:effectExtent b="0" l="0" r="0" t="0"/>
            <wp:wrapSquare wrapText="bothSides" distB="0" distT="0" distL="114300" distR="114300"/>
            <wp:docPr id="1379944058"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4973638" cy="2970740"/>
                    </a:xfrm>
                    <a:prstGeom prst="rect"/>
                    <a:ln/>
                  </pic:spPr>
                </pic:pic>
              </a:graphicData>
            </a:graphic>
          </wp:anchor>
        </w:drawing>
      </w:r>
    </w:p>
    <w:p w:rsidR="00000000" w:rsidDel="00000000" w:rsidP="00000000" w:rsidRDefault="00000000" w:rsidRPr="00000000" w14:paraId="00000049">
      <w:pPr>
        <w:jc w:val="both"/>
        <w:rPr>
          <w:rFonts w:ascii="Arial" w:cs="Arial" w:eastAsia="Arial" w:hAnsi="Arial"/>
          <w:b w:val="1"/>
          <w:bCs w:val="1"/>
        </w:rPr>
      </w:pPr>
      <w:r w:rsidDel="00000000" w:rsidR="00000000" w:rsidRPr="00000000">
        <w:rPr>
          <w:rFonts w:ascii="Arial" w:cs="Arial" w:eastAsia="Arial" w:hAnsi="Arial"/>
          <w:b w:val="1"/>
          <w:bCs w:val="1"/>
          <w:rtl w:val="0"/>
        </w:rPr>
        <w:t xml:space="preserve"> </w:t>
      </w:r>
    </w:p>
    <w:p w:rsidR="00000000" w:rsidDel="00000000" w:rsidP="00000000" w:rsidRDefault="00000000" w:rsidRPr="00000000" w14:paraId="0000004A">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4B">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4C">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4D">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4E">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4F">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0">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1">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2">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3">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4">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55">
      <w:pPr>
        <w:numPr>
          <w:ilvl w:val="0"/>
          <w:numId w:val="1"/>
        </w:numPr>
        <w:ind w:left="283" w:hanging="283"/>
        <w:jc w:val="both"/>
        <w:rPr>
          <w:rFonts w:ascii="Arial" w:cs="Arial" w:eastAsia="Arial" w:hAnsi="Arial"/>
          <w:b w:val="1"/>
          <w:bCs w:val="1"/>
        </w:rPr>
      </w:pPr>
      <w:r w:rsidDel="00000000" w:rsidR="00000000" w:rsidRPr="00000000">
        <w:rPr>
          <w:rFonts w:ascii="Arial" w:cs="Arial" w:eastAsia="Arial" w:hAnsi="Arial"/>
          <w:b w:val="1"/>
          <w:bCs w:val="1"/>
          <w:rtl w:val="0"/>
        </w:rPr>
        <w:t xml:space="preserve">Metodología para la construcción del tablero</w:t>
      </w:r>
    </w:p>
    <w:p w:rsidR="00000000" w:rsidDel="00000000" w:rsidP="00000000" w:rsidRDefault="00000000" w:rsidRPr="00000000" w14:paraId="00000056">
      <w:pPr>
        <w:jc w:val="both"/>
        <w:rPr>
          <w:rFonts w:ascii="Arial" w:cs="Arial" w:eastAsia="Arial" w:hAnsi="Arial"/>
        </w:rPr>
      </w:pPr>
      <w:r w:rsidDel="00000000" w:rsidR="00000000" w:rsidRPr="00000000">
        <w:rPr>
          <w:rFonts w:ascii="Arial" w:cs="Arial" w:eastAsia="Arial" w:hAnsi="Arial"/>
          <w:rtl w:val="0"/>
        </w:rPr>
        <w:t xml:space="preserve">En el marco de sus funciones, el ODCLA requiere presentar informes interactivos para el análisis de la contratación del Distrito, con base en el servicio de Datos Abiertos de SECOP, que es la fuente primaria de información. Para ese propósito, es necesario extraer los datos, transformarlos para su presentación unificada, cargarlos en un repositorio y realizar la depuración necesaria, con el fin de contar con un conjunto de datos óptimo para la presentación de los informes definidos por el equipo experto legal y de análisis, según se explica a continuación: </w:t>
      </w:r>
    </w:p>
    <w:p w:rsidR="00000000" w:rsidDel="00000000" w:rsidP="00000000" w:rsidRDefault="00000000" w:rsidRPr="00000000" w14:paraId="00000057">
      <w:pPr>
        <w:numPr>
          <w:ilvl w:val="0"/>
          <w:numId w:val="10"/>
        </w:numPr>
        <w:ind w:left="283" w:hanging="283"/>
        <w:jc w:val="both"/>
        <w:rPr>
          <w:rFonts w:ascii="Arial" w:cs="Arial" w:eastAsia="Arial" w:hAnsi="Arial"/>
          <w:u w:val="single"/>
        </w:rPr>
      </w:pPr>
      <w:r w:rsidDel="00000000" w:rsidR="00000000" w:rsidRPr="00000000">
        <w:rPr>
          <w:rFonts w:ascii="Arial" w:cs="Arial" w:eastAsia="Arial" w:hAnsi="Arial"/>
          <w:u w:val="single"/>
          <w:rtl w:val="0"/>
        </w:rPr>
        <w:t xml:space="preserve">Conexión en tiempo real a Sistema Electrónico de Compra Pública - Secop II</w:t>
      </w:r>
    </w:p>
    <w:p w:rsidR="00000000" w:rsidDel="00000000" w:rsidP="00000000" w:rsidRDefault="00000000" w:rsidRPr="00000000" w14:paraId="00000058">
      <w:pPr>
        <w:jc w:val="both"/>
        <w:rPr>
          <w:rFonts w:ascii="Arial" w:cs="Arial" w:eastAsia="Arial" w:hAnsi="Arial"/>
        </w:rPr>
      </w:pPr>
      <w:r w:rsidDel="00000000" w:rsidR="00000000" w:rsidRPr="00000000">
        <w:rPr>
          <w:rFonts w:ascii="Arial" w:cs="Arial" w:eastAsia="Arial" w:hAnsi="Arial"/>
          <w:rtl w:val="0"/>
        </w:rPr>
        <w:t xml:space="preserve">El tablero se alimenta automáticamente desde la OData de Secop II, lo que permite contar con información actualizada en tiempo real.</w:t>
      </w:r>
    </w:p>
    <w:p w:rsidR="00000000" w:rsidDel="00000000" w:rsidP="00000000" w:rsidRDefault="00000000" w:rsidRPr="00000000" w14:paraId="00000059">
      <w:pPr>
        <w:numPr>
          <w:ilvl w:val="0"/>
          <w:numId w:val="4"/>
        </w:numPr>
        <w:ind w:left="283" w:hanging="283"/>
        <w:jc w:val="both"/>
        <w:rPr>
          <w:rFonts w:ascii="Arial" w:cs="Arial" w:eastAsia="Arial" w:hAnsi="Arial"/>
          <w:u w:val="single"/>
        </w:rPr>
      </w:pPr>
      <w:r w:rsidDel="00000000" w:rsidR="00000000" w:rsidRPr="00000000">
        <w:rPr>
          <w:rFonts w:ascii="Arial" w:cs="Arial" w:eastAsia="Arial" w:hAnsi="Arial"/>
          <w:u w:val="single"/>
          <w:rtl w:val="0"/>
        </w:rPr>
        <w:t xml:space="preserve">Integración de bases de datos clave</w:t>
      </w:r>
    </w:p>
    <w:p w:rsidR="00000000" w:rsidDel="00000000" w:rsidP="00000000" w:rsidRDefault="00000000" w:rsidRPr="00000000" w14:paraId="0000005A">
      <w:pPr>
        <w:jc w:val="both"/>
        <w:rPr>
          <w:rFonts w:ascii="Arial" w:cs="Arial" w:eastAsia="Arial" w:hAnsi="Arial"/>
        </w:rPr>
      </w:pPr>
      <w:r w:rsidDel="00000000" w:rsidR="00000000" w:rsidRPr="00000000">
        <w:rPr>
          <w:rFonts w:ascii="Arial" w:cs="Arial" w:eastAsia="Arial" w:hAnsi="Arial"/>
          <w:rtl w:val="0"/>
        </w:rPr>
        <w:t xml:space="preserve">Se asociaron cinco bases de Secop II: procesos de contratación, contratos electrónicos, multas y sanciones, modificaciones y adiciones, con el fin de facilitar el cruce y análisis integral de los datos.</w:t>
      </w:r>
    </w:p>
    <w:p w:rsidR="00000000" w:rsidDel="00000000" w:rsidP="00000000" w:rsidRDefault="00000000" w:rsidRPr="00000000" w14:paraId="0000005B">
      <w:pPr>
        <w:jc w:val="both"/>
        <w:rPr>
          <w:rFonts w:ascii="Arial" w:cs="Arial" w:eastAsia="Arial" w:hAnsi="Arial"/>
        </w:rPr>
      </w:pPr>
      <w:r w:rsidDel="00000000" w:rsidR="00000000" w:rsidRPr="00000000">
        <w:rPr>
          <w:rtl w:val="0"/>
        </w:rPr>
      </w:r>
    </w:p>
    <w:p w:rsidR="00000000" w:rsidDel="00000000" w:rsidP="00000000" w:rsidRDefault="00000000" w:rsidRPr="00000000" w14:paraId="0000005C">
      <w:pPr>
        <w:jc w:val="both"/>
        <w:rPr>
          <w:rFonts w:ascii="Arial" w:cs="Arial" w:eastAsia="Arial" w:hAnsi="Arial"/>
        </w:rPr>
      </w:pPr>
      <w:r w:rsidDel="00000000" w:rsidR="00000000" w:rsidRPr="00000000">
        <w:rPr>
          <w:rtl w:val="0"/>
        </w:rPr>
      </w:r>
    </w:p>
    <w:p w:rsidR="00000000" w:rsidDel="00000000" w:rsidP="00000000" w:rsidRDefault="00000000" w:rsidRPr="00000000" w14:paraId="0000005D">
      <w:pPr>
        <w:numPr>
          <w:ilvl w:val="0"/>
          <w:numId w:val="15"/>
        </w:numPr>
        <w:ind w:left="283" w:hanging="283"/>
        <w:jc w:val="both"/>
        <w:rPr>
          <w:rFonts w:ascii="Arial" w:cs="Arial" w:eastAsia="Arial" w:hAnsi="Arial"/>
          <w:u w:val="single"/>
        </w:rPr>
      </w:pPr>
      <w:r w:rsidDel="00000000" w:rsidR="00000000" w:rsidRPr="00000000">
        <w:rPr>
          <w:rFonts w:ascii="Arial" w:cs="Arial" w:eastAsia="Arial" w:hAnsi="Arial"/>
          <w:u w:val="single"/>
          <w:rtl w:val="0"/>
        </w:rPr>
        <w:t xml:space="preserve">Estandarización de datos</w:t>
      </w:r>
    </w:p>
    <w:p w:rsidR="00000000" w:rsidDel="00000000" w:rsidP="00000000" w:rsidRDefault="00000000" w:rsidRPr="00000000" w14:paraId="0000005E">
      <w:pPr>
        <w:jc w:val="both"/>
        <w:rPr>
          <w:rFonts w:ascii="Arial" w:cs="Arial" w:eastAsia="Arial" w:hAnsi="Arial"/>
        </w:rPr>
      </w:pPr>
      <w:r w:rsidDel="00000000" w:rsidR="00000000" w:rsidRPr="00000000">
        <w:rPr>
          <w:rFonts w:ascii="Arial" w:cs="Arial" w:eastAsia="Arial" w:hAnsi="Arial"/>
          <w:rtl w:val="0"/>
        </w:rPr>
        <w:t xml:space="preserve">En Power Query se depuraron los registros, en especial los relacionados con entidades distritales. Luego, se estandarizaron los nombres y formatos para mejorar la legibilidad y precisión.</w:t>
      </w:r>
    </w:p>
    <w:p w:rsidR="00000000" w:rsidDel="00000000" w:rsidP="00000000" w:rsidRDefault="00000000" w:rsidRPr="00000000" w14:paraId="0000005F">
      <w:pPr>
        <w:numPr>
          <w:ilvl w:val="0"/>
          <w:numId w:val="11"/>
        </w:numPr>
        <w:ind w:left="283" w:hanging="283"/>
        <w:jc w:val="both"/>
        <w:rPr>
          <w:rFonts w:ascii="Arial" w:cs="Arial" w:eastAsia="Arial" w:hAnsi="Arial"/>
          <w:u w:val="single"/>
        </w:rPr>
      </w:pPr>
      <w:r w:rsidDel="00000000" w:rsidR="00000000" w:rsidRPr="00000000">
        <w:rPr>
          <w:rFonts w:ascii="Arial" w:cs="Arial" w:eastAsia="Arial" w:hAnsi="Arial"/>
          <w:u w:val="single"/>
          <w:rtl w:val="0"/>
        </w:rPr>
        <w:t xml:space="preserve">Modelo de datos y carga</w:t>
      </w:r>
    </w:p>
    <w:p w:rsidR="00000000" w:rsidDel="00000000" w:rsidP="00000000" w:rsidRDefault="00000000" w:rsidRPr="00000000" w14:paraId="00000060">
      <w:pPr>
        <w:jc w:val="both"/>
        <w:rPr>
          <w:rFonts w:ascii="Arial" w:cs="Arial" w:eastAsia="Arial" w:hAnsi="Arial"/>
        </w:rPr>
      </w:pPr>
      <w:r w:rsidDel="00000000" w:rsidR="00000000" w:rsidRPr="00000000">
        <w:rPr>
          <w:rFonts w:ascii="Arial" w:cs="Arial" w:eastAsia="Arial" w:hAnsi="Arial"/>
          <w:rtl w:val="0"/>
        </w:rPr>
        <w:t xml:space="preserve">Una vez transformados, los datos se cargan en el modelo de Power BI, en el cual se definen las relaciones entre las distintas tablas de acuerdo con criterios de integridad y consistencia. Se construye una tabla principal de entidades del Distrito con registros únicos, que permite unificar nombres y características de las entidades para su uso transversal en las visualizaciones. Además, se crea una tabla de códigos United Nations Standard Products and Services Code (UNSPSC) con su descripción, con el objetivo de clasificar los bienes y servicios, para facilitar el análisis por objeto contractual.</w:t>
      </w:r>
    </w:p>
    <w:p w:rsidR="00000000" w:rsidDel="00000000" w:rsidP="00000000" w:rsidRDefault="00000000" w:rsidRPr="00000000" w14:paraId="00000061">
      <w:pPr>
        <w:numPr>
          <w:ilvl w:val="0"/>
          <w:numId w:val="11"/>
        </w:numPr>
        <w:ind w:left="283" w:hanging="283"/>
        <w:jc w:val="both"/>
        <w:rPr>
          <w:rFonts w:ascii="Arial" w:cs="Arial" w:eastAsia="Arial" w:hAnsi="Arial"/>
          <w:u w:val="single"/>
        </w:rPr>
      </w:pPr>
      <w:r w:rsidDel="00000000" w:rsidR="00000000" w:rsidRPr="00000000">
        <w:rPr>
          <w:rFonts w:ascii="Arial" w:cs="Arial" w:eastAsia="Arial" w:hAnsi="Arial"/>
          <w:u w:val="single"/>
          <w:rtl w:val="0"/>
        </w:rPr>
        <w:t xml:space="preserve">Cruce de información y consultas dinámicas</w:t>
      </w:r>
    </w:p>
    <w:p w:rsidR="00000000" w:rsidDel="00000000" w:rsidP="00000000" w:rsidRDefault="00000000" w:rsidRPr="00000000" w14:paraId="00000062">
      <w:pPr>
        <w:jc w:val="both"/>
        <w:rPr>
          <w:rFonts w:ascii="Arial" w:cs="Arial" w:eastAsia="Arial" w:hAnsi="Arial"/>
        </w:rPr>
      </w:pPr>
      <w:r w:rsidDel="00000000" w:rsidR="00000000" w:rsidRPr="00000000">
        <w:rPr>
          <w:rFonts w:ascii="Arial" w:cs="Arial" w:eastAsia="Arial" w:hAnsi="Arial"/>
          <w:rtl w:val="0"/>
        </w:rPr>
        <w:t xml:space="preserve">Las bases se relacionan entre sí para permitir consultas cruzadas y obtener resultados personalizados según los criterios de análisis definidos.</w:t>
      </w:r>
    </w:p>
    <w:p w:rsidR="00000000" w:rsidDel="00000000" w:rsidP="00000000" w:rsidRDefault="00000000" w:rsidRPr="00000000" w14:paraId="00000063">
      <w:pPr>
        <w:numPr>
          <w:ilvl w:val="0"/>
          <w:numId w:val="12"/>
        </w:numPr>
        <w:ind w:left="283" w:hanging="360"/>
        <w:jc w:val="both"/>
        <w:rPr>
          <w:rFonts w:ascii="Arial" w:cs="Arial" w:eastAsia="Arial" w:hAnsi="Arial"/>
          <w:u w:val="single"/>
        </w:rPr>
      </w:pPr>
      <w:r w:rsidDel="00000000" w:rsidR="00000000" w:rsidRPr="00000000">
        <w:rPr>
          <w:rFonts w:ascii="Arial" w:cs="Arial" w:eastAsia="Arial" w:hAnsi="Arial"/>
          <w:u w:val="single"/>
          <w:rtl w:val="0"/>
        </w:rPr>
        <w:t xml:space="preserve">Validación de datos</w:t>
      </w:r>
    </w:p>
    <w:p w:rsidR="00000000" w:rsidDel="00000000" w:rsidP="00000000" w:rsidRDefault="00000000" w:rsidRPr="00000000" w14:paraId="00000064">
      <w:pPr>
        <w:jc w:val="both"/>
        <w:rPr>
          <w:rFonts w:ascii="Arial" w:cs="Arial" w:eastAsia="Arial" w:hAnsi="Arial"/>
        </w:rPr>
      </w:pPr>
      <w:r w:rsidDel="00000000" w:rsidR="00000000" w:rsidRPr="00000000">
        <w:rPr>
          <w:rFonts w:ascii="Arial" w:cs="Arial" w:eastAsia="Arial" w:hAnsi="Arial"/>
          <w:rtl w:val="0"/>
        </w:rPr>
        <w:t xml:space="preserve">Como parte del proceso interno de aseguramiento de la calidad, se cargan los datos en un administrador de bases de datos diferente al repositorio de Power Bi, como Access, y se realizan validaciones cruzadas de las cifras que presenta el tablero. </w:t>
      </w:r>
    </w:p>
    <w:p w:rsidR="00000000" w:rsidDel="00000000" w:rsidP="00000000" w:rsidRDefault="00000000" w:rsidRPr="00000000" w14:paraId="00000065">
      <w:pPr>
        <w:jc w:val="both"/>
        <w:rPr>
          <w:rFonts w:ascii="Arial" w:cs="Arial" w:eastAsia="Arial" w:hAnsi="Arial"/>
        </w:rPr>
      </w:pPr>
      <w:r w:rsidDel="00000000" w:rsidR="00000000" w:rsidRPr="00000000">
        <w:rPr>
          <w:rFonts w:ascii="Arial" w:cs="Arial" w:eastAsia="Arial" w:hAnsi="Arial"/>
          <w:rtl w:val="0"/>
        </w:rPr>
        <w:t xml:space="preserve">En simultáneo, se elaboran consolidados de control de forma manual y se comparan con los resultados que arroja el tablero. Estas verificaciones permiten detectar inconsistencias y ajustar los procesos de transformación o los filtros, de manera que las visualizaciones se apoyan en información confiable.</w:t>
      </w:r>
    </w:p>
    <w:p w:rsidR="00000000" w:rsidDel="00000000" w:rsidP="00000000" w:rsidRDefault="00000000" w:rsidRPr="00000000" w14:paraId="00000066">
      <w:pPr>
        <w:numPr>
          <w:ilvl w:val="0"/>
          <w:numId w:val="12"/>
        </w:numPr>
        <w:ind w:left="283" w:hanging="360"/>
        <w:jc w:val="both"/>
        <w:rPr>
          <w:rFonts w:ascii="Arial" w:cs="Arial" w:eastAsia="Arial" w:hAnsi="Arial"/>
          <w:u w:val="single"/>
        </w:rPr>
      </w:pPr>
      <w:r w:rsidDel="00000000" w:rsidR="00000000" w:rsidRPr="00000000">
        <w:rPr>
          <w:rFonts w:ascii="Arial" w:cs="Arial" w:eastAsia="Arial" w:hAnsi="Arial"/>
          <w:u w:val="single"/>
          <w:rtl w:val="0"/>
        </w:rPr>
        <w:t xml:space="preserve">Estructura y contenidos del tablero</w:t>
      </w:r>
    </w:p>
    <w:p w:rsidR="00000000" w:rsidDel="00000000" w:rsidP="00000000" w:rsidRDefault="00000000" w:rsidRPr="00000000" w14:paraId="00000067">
      <w:pPr>
        <w:jc w:val="both"/>
        <w:rPr>
          <w:rFonts w:ascii="Arial" w:cs="Arial" w:eastAsia="Arial" w:hAnsi="Arial"/>
        </w:rPr>
      </w:pPr>
      <w:r w:rsidDel="00000000" w:rsidR="00000000" w:rsidRPr="00000000">
        <w:rPr>
          <w:rFonts w:ascii="Arial" w:cs="Arial" w:eastAsia="Arial" w:hAnsi="Arial"/>
          <w:rtl w:val="0"/>
        </w:rPr>
        <w:t xml:space="preserve">El tablero se compone de varias páginas o vistas que agrupan indicadores y filtros orientados a la identificación de situaciones de análisis y mejora en la contratación del Distrito. Cada página se construye con criterios específicos de depuración y segmentación de la información, lo que permite concentrar la atención en riesgos o patrones de comportamiento relevantes.</w:t>
      </w:r>
    </w:p>
    <w:p w:rsidR="00000000" w:rsidDel="00000000" w:rsidP="00000000" w:rsidRDefault="00000000" w:rsidRPr="00000000" w14:paraId="00000068">
      <w:pPr>
        <w:jc w:val="both"/>
        <w:rPr>
          <w:rFonts w:ascii="Arial" w:cs="Arial" w:eastAsia="Arial" w:hAnsi="Arial"/>
        </w:rPr>
      </w:pPr>
      <w:r w:rsidDel="00000000" w:rsidR="00000000" w:rsidRPr="00000000">
        <w:rPr>
          <w:rFonts w:ascii="Arial" w:cs="Arial" w:eastAsia="Arial" w:hAnsi="Arial"/>
          <w:b w:val="1"/>
          <w:bCs w:val="1"/>
          <w:rtl w:val="0"/>
        </w:rPr>
        <w:t xml:space="preserve">Importante:</w:t>
      </w:r>
      <w:r w:rsidDel="00000000" w:rsidR="00000000" w:rsidRPr="00000000">
        <w:rPr>
          <w:rFonts w:ascii="Arial" w:cs="Arial" w:eastAsia="Arial" w:hAnsi="Arial"/>
          <w:rtl w:val="0"/>
        </w:rPr>
        <w:t xml:space="preserve"> Cabe resaltar que los registros de este tablero corresponden a los datos proporcionados por Secop II (2016 a 2025). Para los cálculos mencionados se tienen en cuenta todos los datos de la fuente primaria, es decir, no alteramos los datos.</w:t>
      </w:r>
    </w:p>
    <w:p w:rsidR="00000000" w:rsidDel="00000000" w:rsidP="00000000" w:rsidRDefault="00000000" w:rsidRPr="00000000" w14:paraId="00000069">
      <w:pPr>
        <w:jc w:val="both"/>
        <w:rPr>
          <w:rFonts w:ascii="Arial" w:cs="Arial" w:eastAsia="Arial" w:hAnsi="Arial"/>
        </w:rPr>
      </w:pPr>
      <w:r w:rsidDel="00000000" w:rsidR="00000000" w:rsidRPr="00000000">
        <w:rPr>
          <w:rFonts w:ascii="Arial" w:cs="Arial" w:eastAsia="Arial" w:hAnsi="Arial"/>
          <w:rtl w:val="0"/>
        </w:rPr>
        <w:t xml:space="preserve">No obstante, para efectos metodológicos en las visualizaciones omitimos algunos datos. Estas salvedades están descritas en la explicación de cada situación. </w:t>
      </w:r>
    </w:p>
    <w:p w:rsidR="00000000" w:rsidDel="00000000" w:rsidP="00000000" w:rsidRDefault="00000000" w:rsidRPr="00000000" w14:paraId="0000006A">
      <w:pPr>
        <w:numPr>
          <w:ilvl w:val="0"/>
          <w:numId w:val="1"/>
        </w:numPr>
        <w:ind w:left="283" w:hanging="283"/>
        <w:jc w:val="both"/>
        <w:rPr/>
      </w:pPr>
      <w:r w:rsidDel="00000000" w:rsidR="00000000" w:rsidRPr="00000000">
        <w:rPr>
          <w:rFonts w:ascii="Arial" w:cs="Arial" w:eastAsia="Arial" w:hAnsi="Arial"/>
          <w:b w:val="1"/>
          <w:bCs w:val="1"/>
          <w:rtl w:val="0"/>
        </w:rPr>
        <w:t xml:space="preserve">Situaciones identificadas</w:t>
      </w:r>
      <w:r w:rsidDel="00000000" w:rsidR="00000000" w:rsidRPr="00000000">
        <w:rPr>
          <w:rtl w:val="0"/>
        </w:rPr>
      </w:r>
    </w:p>
    <w:p w:rsidR="00000000" w:rsidDel="00000000" w:rsidP="00000000" w:rsidRDefault="00000000" w:rsidRPr="00000000" w14:paraId="0000006B">
      <w:pPr>
        <w:jc w:val="both"/>
        <w:rPr>
          <w:rFonts w:ascii="Arial" w:cs="Arial" w:eastAsia="Arial" w:hAnsi="Arial"/>
        </w:rPr>
      </w:pPr>
      <w:r w:rsidDel="00000000" w:rsidR="00000000" w:rsidRPr="00000000">
        <w:rPr>
          <w:rFonts w:ascii="Arial" w:cs="Arial" w:eastAsia="Arial" w:hAnsi="Arial"/>
          <w:rtl w:val="0"/>
        </w:rPr>
        <w:t xml:space="preserve">La estructura del tablero incluye, entre otros, las siguientes situaciones de análisis y mejora:</w:t>
      </w:r>
    </w:p>
    <w:p w:rsidR="00000000" w:rsidDel="00000000" w:rsidP="00000000" w:rsidRDefault="00000000" w:rsidRPr="00000000" w14:paraId="0000006C">
      <w:pPr>
        <w:jc w:val="both"/>
        <w:rPr>
          <w:rFonts w:ascii="Arial" w:cs="Arial" w:eastAsia="Arial" w:hAnsi="Arial"/>
          <w:b w:val="1"/>
          <w:bCs w:val="1"/>
        </w:rPr>
      </w:pPr>
      <w:r w:rsidDel="00000000" w:rsidR="00000000" w:rsidRPr="00000000">
        <w:rPr>
          <w:rFonts w:ascii="Arial" w:cs="Arial" w:eastAsia="Arial" w:hAnsi="Arial"/>
          <w:b w:val="1"/>
          <w:bCs w:val="1"/>
          <w:rtl w:val="0"/>
        </w:rPr>
        <w:t xml:space="preserve">5.1. Situación 1: Procesos de selección competitivos que registraron de 1 a 3 proveedores</w:t>
      </w:r>
    </w:p>
    <w:p w:rsidR="00000000" w:rsidDel="00000000" w:rsidP="00000000" w:rsidRDefault="00000000" w:rsidRPr="00000000" w14:paraId="0000006D">
      <w:pPr>
        <w:jc w:val="center"/>
        <w:rPr>
          <w:rFonts w:ascii="Arial" w:cs="Arial" w:eastAsia="Arial" w:hAnsi="Arial"/>
          <w:b w:val="1"/>
          <w:bCs w:val="1"/>
        </w:rPr>
      </w:pPr>
      <w:r w:rsidDel="00000000" w:rsidR="00000000" w:rsidRPr="00000000">
        <w:rPr>
          <w:rFonts w:ascii="Arial" w:cs="Arial" w:eastAsia="Arial" w:hAnsi="Arial"/>
          <w:b w:val="1"/>
          <w:bCs w:val="1"/>
        </w:rPr>
        <w:drawing>
          <wp:inline distB="114300" distT="114300" distL="114300" distR="114300">
            <wp:extent cx="4728845" cy="2661350"/>
            <wp:effectExtent b="0" l="0" r="0" t="0"/>
            <wp:docPr id="1379944062"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4728845" cy="266135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widowControl w:val="0"/>
        <w:spacing w:after="0" w:line="240" w:lineRule="auto"/>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6F">
      <w:pPr>
        <w:widowControl w:val="0"/>
        <w:spacing w:after="0" w:line="240" w:lineRule="auto"/>
        <w:jc w:val="both"/>
        <w:rPr>
          <w:rFonts w:ascii="Arial" w:cs="Arial" w:eastAsia="Arial" w:hAnsi="Arial"/>
        </w:rPr>
      </w:pPr>
      <w:r w:rsidDel="00000000" w:rsidR="00000000" w:rsidRPr="00000000">
        <w:rPr>
          <w:rFonts w:ascii="Arial" w:cs="Arial" w:eastAsia="Arial" w:hAnsi="Arial"/>
          <w:b w:val="1"/>
          <w:bCs w:val="1"/>
          <w:rtl w:val="0"/>
        </w:rPr>
        <w:t xml:space="preserve">Objetivo: </w:t>
      </w:r>
      <w:r w:rsidDel="00000000" w:rsidR="00000000" w:rsidRPr="00000000">
        <w:rPr>
          <w:rFonts w:ascii="Arial" w:cs="Arial" w:eastAsia="Arial" w:hAnsi="Arial"/>
          <w:rtl w:val="0"/>
        </w:rPr>
        <w:t xml:space="preserve">Detectar procesos de selección que presentan una baja participación de oferentes o una posible restricción a la competencia, lo que podría indicar deficiencias en la planeación o falta de uso de mecanismos de agregación de demanda.</w:t>
      </w:r>
    </w:p>
    <w:p w:rsidR="00000000" w:rsidDel="00000000" w:rsidP="00000000" w:rsidRDefault="00000000" w:rsidRPr="00000000" w14:paraId="00000070">
      <w:pPr>
        <w:widowControl w:val="0"/>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1">
      <w:pPr>
        <w:widowControl w:val="0"/>
        <w:spacing w:after="0" w:line="240" w:lineRule="auto"/>
        <w:rPr>
          <w:rFonts w:ascii="Arial" w:cs="Arial" w:eastAsia="Arial" w:hAnsi="Arial"/>
        </w:rPr>
      </w:pPr>
      <w:r w:rsidDel="00000000" w:rsidR="00000000" w:rsidRPr="00000000">
        <w:rPr>
          <w:rFonts w:ascii="Arial" w:cs="Arial" w:eastAsia="Arial" w:hAnsi="Arial"/>
          <w:b w:val="1"/>
          <w:bCs w:val="1"/>
          <w:rtl w:val="0"/>
        </w:rPr>
        <w:t xml:space="preserve">Origen de los datos: </w:t>
      </w:r>
      <w:r w:rsidDel="00000000" w:rsidR="00000000" w:rsidRPr="00000000">
        <w:rPr>
          <w:rFonts w:ascii="Arial" w:cs="Arial" w:eastAsia="Arial" w:hAnsi="Arial"/>
          <w:rtl w:val="0"/>
        </w:rPr>
        <w:t xml:space="preserve">Base de procesos de contratación de Secop II. </w:t>
      </w:r>
    </w:p>
    <w:p w:rsidR="00000000" w:rsidDel="00000000" w:rsidP="00000000" w:rsidRDefault="00000000" w:rsidRPr="00000000" w14:paraId="00000072">
      <w:pPr>
        <w:widowControl w:val="0"/>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73">
      <w:pPr>
        <w:widowControl w:val="0"/>
        <w:spacing w:after="0" w:line="240" w:lineRule="auto"/>
        <w:rPr>
          <w:rFonts w:ascii="Arial" w:cs="Arial" w:eastAsia="Arial" w:hAnsi="Arial"/>
        </w:rPr>
      </w:pPr>
      <w:r w:rsidDel="00000000" w:rsidR="00000000" w:rsidRPr="00000000">
        <w:rPr>
          <w:rFonts w:ascii="Arial" w:cs="Arial" w:eastAsia="Arial" w:hAnsi="Arial"/>
          <w:b w:val="1"/>
          <w:bCs w:val="1"/>
          <w:rtl w:val="0"/>
        </w:rPr>
        <w:t xml:space="preserve">Método de detección: </w:t>
      </w:r>
      <w:r w:rsidDel="00000000" w:rsidR="00000000" w:rsidRPr="00000000">
        <w:rPr>
          <w:rFonts w:ascii="Arial" w:cs="Arial" w:eastAsia="Arial" w:hAnsi="Arial"/>
          <w:rtl w:val="0"/>
        </w:rPr>
        <w:t xml:space="preserve">Procesos de selección competitivos que registraron 3 o menos proveedores. </w:t>
      </w:r>
    </w:p>
    <w:p w:rsidR="00000000" w:rsidDel="00000000" w:rsidP="00000000" w:rsidRDefault="00000000" w:rsidRPr="00000000" w14:paraId="00000074">
      <w:pPr>
        <w:widowControl w:val="0"/>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75">
      <w:pPr>
        <w:widowControl w:val="0"/>
        <w:spacing w:after="0" w:line="240" w:lineRule="auto"/>
        <w:rPr>
          <w:rFonts w:ascii="Arial" w:cs="Arial" w:eastAsia="Arial" w:hAnsi="Arial"/>
        </w:rPr>
      </w:pPr>
      <w:r w:rsidDel="00000000" w:rsidR="00000000" w:rsidRPr="00000000">
        <w:rPr>
          <w:rFonts w:ascii="Arial" w:cs="Arial" w:eastAsia="Arial" w:hAnsi="Arial"/>
          <w:rtl w:val="0"/>
        </w:rPr>
        <w:t xml:space="preserve">Para realizar el cálculo:</w:t>
        <w:tab/>
        <w:tab/>
        <w:tab/>
        <w:tab/>
      </w:r>
    </w:p>
    <w:p w:rsidR="00000000" w:rsidDel="00000000" w:rsidP="00000000" w:rsidRDefault="00000000" w:rsidRPr="00000000" w14:paraId="00000076">
      <w:pPr>
        <w:widowControl w:val="0"/>
        <w:numPr>
          <w:ilvl w:val="0"/>
          <w:numId w:val="13"/>
        </w:numPr>
        <w:spacing w:after="0" w:before="24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Se deben tomar sólo los procesos competitivos. Para tal efecto, es necesario excluir los datos de “Contratación directa (con ofertas)” y “Contratación directa” de la columna “Modalidad de Contratación”.</w:t>
      </w:r>
    </w:p>
    <w:p w:rsidR="00000000" w:rsidDel="00000000" w:rsidP="00000000" w:rsidRDefault="00000000" w:rsidRPr="00000000" w14:paraId="00000077">
      <w:pPr>
        <w:widowControl w:val="0"/>
        <w:numPr>
          <w:ilvl w:val="0"/>
          <w:numId w:val="13"/>
        </w:numPr>
        <w:spacing w:after="24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Luego, se filtran los procesos que tengan de 1 a 3 propuestas en la columna de "Proveedores Únicos con Respuestas".</w:t>
      </w:r>
    </w:p>
    <w:p w:rsidR="00000000" w:rsidDel="00000000" w:rsidP="00000000" w:rsidRDefault="00000000" w:rsidRPr="00000000" w14:paraId="00000078">
      <w:pPr>
        <w:jc w:val="both"/>
        <w:rPr>
          <w:rFonts w:ascii="Arial" w:cs="Arial" w:eastAsia="Arial" w:hAnsi="Arial"/>
        </w:rPr>
      </w:pPr>
      <w:r w:rsidDel="00000000" w:rsidR="00000000" w:rsidRPr="00000000">
        <w:rPr>
          <w:rFonts w:ascii="Arial" w:cs="Arial" w:eastAsia="Arial" w:hAnsi="Arial"/>
          <w:rtl w:val="0"/>
        </w:rPr>
        <w:t xml:space="preserve">Esta vista permite analizar la baja participación de oferentes en la contratación distrital. La consulta se limita a entidades del Distrito, excluye las modalidades “Contratación directa”, “Contratación directa (con ofertas)” y “Subasta de prueba” y se centra en procesos que registran entre cero y tres propuestas. </w:t>
      </w:r>
    </w:p>
    <w:p w:rsidR="00000000" w:rsidDel="00000000" w:rsidP="00000000" w:rsidRDefault="00000000" w:rsidRPr="00000000" w14:paraId="00000079">
      <w:pPr>
        <w:jc w:val="both"/>
        <w:rPr>
          <w:rFonts w:ascii="Arial" w:cs="Arial" w:eastAsia="Arial" w:hAnsi="Arial"/>
        </w:rPr>
      </w:pPr>
      <w:r w:rsidDel="00000000" w:rsidR="00000000" w:rsidRPr="00000000">
        <w:rPr>
          <w:rFonts w:ascii="Arial" w:cs="Arial" w:eastAsia="Arial" w:hAnsi="Arial"/>
          <w:rtl w:val="0"/>
        </w:rPr>
        <w:t xml:space="preserve">Con esta configuración se busca identificar segmentos de mercado, tipos de proceso o entidades en los que resulta necesario promover mayor concurrencia.</w:t>
      </w:r>
    </w:p>
    <w:p w:rsidR="00000000" w:rsidDel="00000000" w:rsidP="00000000" w:rsidRDefault="00000000" w:rsidRPr="00000000" w14:paraId="0000007A">
      <w:pPr>
        <w:jc w:val="both"/>
        <w:rPr>
          <w:rFonts w:ascii="Arial" w:cs="Arial" w:eastAsia="Arial" w:hAnsi="Arial"/>
        </w:rPr>
      </w:pPr>
      <w:r w:rsidDel="00000000" w:rsidR="00000000" w:rsidRPr="00000000">
        <w:rPr>
          <w:rtl w:val="0"/>
        </w:rPr>
      </w:r>
    </w:p>
    <w:p w:rsidR="00000000" w:rsidDel="00000000" w:rsidP="00000000" w:rsidRDefault="00000000" w:rsidRPr="00000000" w14:paraId="0000007B">
      <w:pPr>
        <w:jc w:val="both"/>
        <w:rPr>
          <w:rFonts w:ascii="Arial" w:cs="Arial" w:eastAsia="Arial" w:hAnsi="Arial"/>
        </w:rPr>
      </w:pPr>
      <w:r w:rsidDel="00000000" w:rsidR="00000000" w:rsidRPr="00000000">
        <w:rPr>
          <w:rtl w:val="0"/>
        </w:rPr>
      </w:r>
    </w:p>
    <w:p w:rsidR="00000000" w:rsidDel="00000000" w:rsidP="00000000" w:rsidRDefault="00000000" w:rsidRPr="00000000" w14:paraId="0000007C">
      <w:pPr>
        <w:jc w:val="both"/>
        <w:rPr>
          <w:rFonts w:ascii="Arial" w:cs="Arial" w:eastAsia="Arial" w:hAnsi="Arial"/>
        </w:rPr>
      </w:pPr>
      <w:r w:rsidDel="00000000" w:rsidR="00000000" w:rsidRPr="00000000">
        <w:rPr>
          <w:rtl w:val="0"/>
        </w:rPr>
      </w:r>
    </w:p>
    <w:p w:rsidR="00000000" w:rsidDel="00000000" w:rsidP="00000000" w:rsidRDefault="00000000" w:rsidRPr="00000000" w14:paraId="0000007D">
      <w:pPr>
        <w:jc w:val="both"/>
        <w:rPr>
          <w:rFonts w:ascii="Arial" w:cs="Arial" w:eastAsia="Arial" w:hAnsi="Arial"/>
        </w:rPr>
      </w:pPr>
      <w:r w:rsidDel="00000000" w:rsidR="00000000" w:rsidRPr="00000000">
        <w:rPr>
          <w:rFonts w:ascii="Arial" w:cs="Arial" w:eastAsia="Arial" w:hAnsi="Arial"/>
          <w:b w:val="1"/>
          <w:bCs w:val="1"/>
          <w:rtl w:val="0"/>
        </w:rPr>
        <w:t xml:space="preserve">5.2.</w:t>
      </w:r>
      <w:r w:rsidDel="00000000" w:rsidR="00000000" w:rsidRPr="00000000">
        <w:rPr>
          <w:rFonts w:ascii="Arial" w:cs="Arial" w:eastAsia="Arial" w:hAnsi="Arial"/>
          <w:rtl w:val="0"/>
        </w:rPr>
        <w:t xml:space="preserve"> </w:t>
      </w:r>
      <w:r w:rsidDel="00000000" w:rsidR="00000000" w:rsidRPr="00000000">
        <w:rPr>
          <w:rFonts w:ascii="Arial" w:cs="Arial" w:eastAsia="Arial" w:hAnsi="Arial"/>
          <w:b w:val="1"/>
          <w:bCs w:val="1"/>
          <w:rtl w:val="0"/>
        </w:rPr>
        <w:t xml:space="preserve">Situación 2: Proveedor adjudicado en varios procesos competitivos en la misma entidad</w:t>
        <w:tab/>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581025</wp:posOffset>
            </wp:positionH>
            <wp:positionV relativeFrom="paragraph">
              <wp:posOffset>457200</wp:posOffset>
            </wp:positionV>
            <wp:extent cx="4400550" cy="2470648"/>
            <wp:effectExtent b="0" l="0" r="0" t="0"/>
            <wp:wrapSquare wrapText="bothSides" distB="114300" distT="114300" distL="114300" distR="114300"/>
            <wp:docPr id="1379944069"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4400550" cy="2470648"/>
                    </a:xfrm>
                    <a:prstGeom prst="rect"/>
                    <a:ln/>
                  </pic:spPr>
                </pic:pic>
              </a:graphicData>
            </a:graphic>
          </wp:anchor>
        </w:drawing>
      </w:r>
    </w:p>
    <w:p w:rsidR="00000000" w:rsidDel="00000000" w:rsidP="00000000" w:rsidRDefault="00000000" w:rsidRPr="00000000" w14:paraId="0000007E">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7F">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0">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1">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2">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3">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4">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5">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6">
      <w:pPr>
        <w:jc w:val="both"/>
        <w:rPr>
          <w:rFonts w:ascii="Arial" w:cs="Arial" w:eastAsia="Arial" w:hAnsi="Arial"/>
          <w:b w:val="1"/>
          <w:bCs w:val="1"/>
        </w:rPr>
      </w:pPr>
      <w:r w:rsidDel="00000000" w:rsidR="00000000" w:rsidRPr="00000000">
        <w:rPr>
          <w:rFonts w:ascii="Arial" w:cs="Arial" w:eastAsia="Arial" w:hAnsi="Arial"/>
          <w:b w:val="1"/>
          <w:bCs w:val="1"/>
          <w:rtl w:val="0"/>
        </w:rPr>
        <w:t xml:space="preserve"> </w:t>
      </w:r>
    </w:p>
    <w:p w:rsidR="00000000" w:rsidDel="00000000" w:rsidP="00000000" w:rsidRDefault="00000000" w:rsidRPr="00000000" w14:paraId="00000087">
      <w:pPr>
        <w:jc w:val="both"/>
        <w:rPr>
          <w:rFonts w:ascii="Arial" w:cs="Arial" w:eastAsia="Arial" w:hAnsi="Arial"/>
          <w:b w:val="1"/>
          <w:bCs w:val="1"/>
        </w:rPr>
      </w:pPr>
      <w:r w:rsidDel="00000000" w:rsidR="00000000" w:rsidRPr="00000000">
        <w:rPr>
          <w:rFonts w:ascii="Arial" w:cs="Arial" w:eastAsia="Arial" w:hAnsi="Arial"/>
          <w:b w:val="1"/>
          <w:bCs w:val="1"/>
          <w:rtl w:val="0"/>
        </w:rPr>
        <w:t xml:space="preserve">Objetivo:</w:t>
      </w:r>
      <w:r w:rsidDel="00000000" w:rsidR="00000000" w:rsidRPr="00000000">
        <w:rPr>
          <w:rFonts w:ascii="Arial" w:cs="Arial" w:eastAsia="Arial" w:hAnsi="Arial"/>
          <w:rtl w:val="0"/>
        </w:rPr>
        <w:t xml:space="preserve"> Detectar patrones de ocurrencia en la adjudicación de procesos a un mismo proveedor por parte de la entidad.</w:t>
        <w:tab/>
        <w:tab/>
        <w:tab/>
        <w:tab/>
        <w:tab/>
      </w:r>
      <w:r w:rsidDel="00000000" w:rsidR="00000000" w:rsidRPr="00000000">
        <w:rPr>
          <w:rtl w:val="0"/>
        </w:rPr>
      </w:r>
    </w:p>
    <w:p w:rsidR="00000000" w:rsidDel="00000000" w:rsidP="00000000" w:rsidRDefault="00000000" w:rsidRPr="00000000" w14:paraId="00000088">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Origen de los datos:</w:t>
      </w:r>
      <w:r w:rsidDel="00000000" w:rsidR="00000000" w:rsidRPr="00000000">
        <w:rPr>
          <w:rFonts w:ascii="Arial" w:cs="Arial" w:eastAsia="Arial" w:hAnsi="Arial"/>
          <w:rtl w:val="0"/>
        </w:rPr>
        <w:t xml:space="preserve"> Base de procesos de contratación de Secop II.</w:t>
      </w:r>
    </w:p>
    <w:p w:rsidR="00000000" w:rsidDel="00000000" w:rsidP="00000000" w:rsidRDefault="00000000" w:rsidRPr="00000000" w14:paraId="00000089">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Método de detección:</w:t>
      </w:r>
      <w:r w:rsidDel="00000000" w:rsidR="00000000" w:rsidRPr="00000000">
        <w:rPr>
          <w:rFonts w:ascii="Arial" w:cs="Arial" w:eastAsia="Arial" w:hAnsi="Arial"/>
          <w:rtl w:val="0"/>
        </w:rPr>
        <w:t xml:space="preserve"> Identificar si un proveedor ha sido adjudicado en más de 3 procesos competitivos en el mismo año y entidad.</w:t>
        <w:tab/>
        <w:tab/>
        <w:tab/>
        <w:tab/>
        <w:tab/>
      </w:r>
    </w:p>
    <w:p w:rsidR="00000000" w:rsidDel="00000000" w:rsidP="00000000" w:rsidRDefault="00000000" w:rsidRPr="00000000" w14:paraId="0000008A">
      <w:pPr>
        <w:spacing w:after="240" w:before="240" w:lineRule="auto"/>
        <w:jc w:val="both"/>
        <w:rPr>
          <w:rFonts w:ascii="Arial" w:cs="Arial" w:eastAsia="Arial" w:hAnsi="Arial"/>
          <w:b w:val="1"/>
          <w:bCs w:val="1"/>
        </w:rPr>
      </w:pPr>
      <w:r w:rsidDel="00000000" w:rsidR="00000000" w:rsidRPr="00000000">
        <w:rPr>
          <w:rFonts w:ascii="Arial" w:cs="Arial" w:eastAsia="Arial" w:hAnsi="Arial"/>
          <w:rtl w:val="0"/>
        </w:rPr>
        <w:t xml:space="preserve">Para realizar el cálculo se deben tener en cuenta los datos de la opción “Seleccionado” de la columna “Estado del Procedimiento”. </w:t>
      </w:r>
      <w:r w:rsidDel="00000000" w:rsidR="00000000" w:rsidRPr="00000000">
        <w:rPr>
          <w:rtl w:val="0"/>
        </w:rPr>
      </w:r>
    </w:p>
    <w:p w:rsidR="00000000" w:rsidDel="00000000" w:rsidP="00000000" w:rsidRDefault="00000000" w:rsidRPr="00000000" w14:paraId="0000008B">
      <w:pPr>
        <w:jc w:val="both"/>
        <w:rPr>
          <w:rFonts w:ascii="Arial" w:cs="Arial" w:eastAsia="Arial" w:hAnsi="Arial"/>
        </w:rPr>
      </w:pPr>
      <w:r w:rsidDel="00000000" w:rsidR="00000000" w:rsidRPr="00000000">
        <w:rPr>
          <w:rFonts w:ascii="Arial" w:cs="Arial" w:eastAsia="Arial" w:hAnsi="Arial"/>
          <w:rtl w:val="0"/>
        </w:rPr>
        <w:t xml:space="preserve">La vista de concentración de adjudicaciones se basa en información de entidades distritales con procesos en estado “Seleccionado”. La información se agrupa por entidad y proveedor, y se resaltan los proveedores con más de tres procesos adjudicados por la misma entidad. Esta vista facilita la detección de patrones de concentración que pueden requerir revisión detallada desde el punto de vista jurídico o de gestión contractual.</w:t>
      </w:r>
    </w:p>
    <w:p w:rsidR="00000000" w:rsidDel="00000000" w:rsidP="00000000" w:rsidRDefault="00000000" w:rsidRPr="00000000" w14:paraId="0000008C">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5.3. Situación 3: Alta tasa de procesos no adjudicados o anulados </w:t>
      </w:r>
      <w:r w:rsidDel="00000000" w:rsidR="00000000" w:rsidRPr="00000000">
        <w:drawing>
          <wp:anchor allowOverlap="1" behindDoc="0" distB="114300" distT="114300" distL="114300" distR="114300" hidden="0" layoutInCell="1" locked="0" relativeHeight="0" simplePos="0">
            <wp:simplePos x="0" y="0"/>
            <wp:positionH relativeFrom="column">
              <wp:posOffset>533400</wp:posOffset>
            </wp:positionH>
            <wp:positionV relativeFrom="paragraph">
              <wp:posOffset>336531</wp:posOffset>
            </wp:positionV>
            <wp:extent cx="4495800" cy="2530626"/>
            <wp:effectExtent b="0" l="0" r="0" t="0"/>
            <wp:wrapSquare wrapText="bothSides" distB="114300" distT="114300" distL="114300" distR="114300"/>
            <wp:docPr id="1379944066"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4495800" cy="2530626"/>
                    </a:xfrm>
                    <a:prstGeom prst="rect"/>
                    <a:ln/>
                  </pic:spPr>
                </pic:pic>
              </a:graphicData>
            </a:graphic>
          </wp:anchor>
        </w:drawing>
      </w:r>
    </w:p>
    <w:p w:rsidR="00000000" w:rsidDel="00000000" w:rsidP="00000000" w:rsidRDefault="00000000" w:rsidRPr="00000000" w14:paraId="0000008D">
      <w:pPr>
        <w:spacing w:after="240" w:before="240" w:lineRule="auto"/>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E">
      <w:pPr>
        <w:spacing w:after="240" w:before="240" w:lineRule="auto"/>
        <w:jc w:val="both"/>
        <w:rPr>
          <w:rFonts w:ascii="Arial" w:cs="Arial" w:eastAsia="Arial" w:hAnsi="Arial"/>
          <w:highlight w:val="yellow"/>
        </w:rPr>
      </w:pPr>
      <w:r w:rsidDel="00000000" w:rsidR="00000000" w:rsidRPr="00000000">
        <w:rPr>
          <w:rFonts w:ascii="Arial" w:cs="Arial" w:eastAsia="Arial" w:hAnsi="Arial"/>
          <w:b w:val="1"/>
          <w:bCs w:val="1"/>
          <w:rtl w:val="0"/>
        </w:rPr>
        <w:t xml:space="preserve">Objetivo: </w:t>
      </w:r>
      <w:r w:rsidDel="00000000" w:rsidR="00000000" w:rsidRPr="00000000">
        <w:rPr>
          <w:rFonts w:ascii="Arial" w:cs="Arial" w:eastAsia="Arial" w:hAnsi="Arial"/>
          <w:rtl w:val="0"/>
        </w:rPr>
        <w:t xml:space="preserve">Identificar patrones de ineficiencia o diseño fallido en los procesos de contratación.</w:t>
      </w:r>
      <w:r w:rsidDel="00000000" w:rsidR="00000000" w:rsidRPr="00000000">
        <w:rPr>
          <w:rtl w:val="0"/>
        </w:rPr>
      </w:r>
    </w:p>
    <w:p w:rsidR="00000000" w:rsidDel="00000000" w:rsidP="00000000" w:rsidRDefault="00000000" w:rsidRPr="00000000" w14:paraId="0000008F">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Origen de los datos: </w:t>
      </w:r>
      <w:r w:rsidDel="00000000" w:rsidR="00000000" w:rsidRPr="00000000">
        <w:rPr>
          <w:rFonts w:ascii="Arial" w:cs="Arial" w:eastAsia="Arial" w:hAnsi="Arial"/>
          <w:rtl w:val="0"/>
        </w:rPr>
        <w:t xml:space="preserve">Base de procesos de contratación de Secop II.</w:t>
      </w:r>
    </w:p>
    <w:p w:rsidR="00000000" w:rsidDel="00000000" w:rsidP="00000000" w:rsidRDefault="00000000" w:rsidRPr="00000000" w14:paraId="00000090">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Método de detección: </w:t>
      </w:r>
      <w:r w:rsidDel="00000000" w:rsidR="00000000" w:rsidRPr="00000000">
        <w:rPr>
          <w:rFonts w:ascii="Arial" w:cs="Arial" w:eastAsia="Arial" w:hAnsi="Arial"/>
          <w:rtl w:val="0"/>
        </w:rPr>
        <w:t xml:space="preserve">Esta bandera sí tiene el filtro de las entidades de Bogotá́ D.C.</w:t>
        <w:tab/>
      </w:r>
    </w:p>
    <w:p w:rsidR="00000000" w:rsidDel="00000000" w:rsidP="00000000" w:rsidRDefault="00000000" w:rsidRPr="00000000" w14:paraId="00000091">
      <w:pPr>
        <w:spacing w:after="240" w:before="240" w:lineRule="auto"/>
        <w:jc w:val="both"/>
        <w:rPr>
          <w:rFonts w:ascii="Arial" w:cs="Arial" w:eastAsia="Arial" w:hAnsi="Arial"/>
          <w:b w:val="1"/>
          <w:bCs w:val="1"/>
        </w:rPr>
      </w:pPr>
      <w:r w:rsidDel="00000000" w:rsidR="00000000" w:rsidRPr="00000000">
        <w:rPr>
          <w:rFonts w:ascii="Arial" w:cs="Arial" w:eastAsia="Arial" w:hAnsi="Arial"/>
          <w:rtl w:val="0"/>
        </w:rPr>
        <w:t xml:space="preserve">Se calcula la tasa de procesos cancelados por año y entidad. Para calcularla se deben tener en cuenta los datos de la opción “Cancelado” de la columna “Estado del Procedimiento”. </w:t>
      </w:r>
      <w:r w:rsidDel="00000000" w:rsidR="00000000" w:rsidRPr="00000000">
        <w:rPr>
          <w:rtl w:val="0"/>
        </w:rPr>
      </w:r>
    </w:p>
    <w:p w:rsidR="00000000" w:rsidDel="00000000" w:rsidP="00000000" w:rsidRDefault="00000000" w:rsidRPr="00000000" w14:paraId="00000092">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De esta forma se dimensiona el volumen de procesos cancelados y se observan sus características, con el propósito de identificar causas recurrentes y oportunidades de mejora en la planeación y en la ejecución de la contratación.</w:t>
      </w:r>
    </w:p>
    <w:p w:rsidR="00000000" w:rsidDel="00000000" w:rsidP="00000000" w:rsidRDefault="00000000" w:rsidRPr="00000000" w14:paraId="00000093">
      <w:pPr>
        <w:jc w:val="both"/>
        <w:rPr>
          <w:rFonts w:ascii="Arial" w:cs="Arial" w:eastAsia="Arial" w:hAnsi="Arial"/>
          <w:b w:val="1"/>
          <w:bCs w:val="1"/>
        </w:rPr>
      </w:pPr>
      <w:r w:rsidDel="00000000" w:rsidR="00000000" w:rsidRPr="00000000">
        <w:rPr>
          <w:rFonts w:ascii="Arial" w:cs="Arial" w:eastAsia="Arial" w:hAnsi="Arial"/>
          <w:b w:val="1"/>
          <w:bCs w:val="1"/>
          <w:rtl w:val="0"/>
        </w:rPr>
        <w:t xml:space="preserve">5.4. Situación 4: Proveedor adjudicado está entre los más frecuentes en los últimos 12 meses</w:t>
      </w:r>
      <w:r w:rsidDel="00000000" w:rsidR="00000000" w:rsidRPr="00000000">
        <w:drawing>
          <wp:anchor allowOverlap="1" behindDoc="0" distB="114300" distT="114300" distL="114300" distR="114300" hidden="0" layoutInCell="1" locked="0" relativeHeight="0" simplePos="0">
            <wp:simplePos x="0" y="0"/>
            <wp:positionH relativeFrom="column">
              <wp:posOffset>619125</wp:posOffset>
            </wp:positionH>
            <wp:positionV relativeFrom="paragraph">
              <wp:posOffset>479504</wp:posOffset>
            </wp:positionV>
            <wp:extent cx="4373479" cy="2460704"/>
            <wp:effectExtent b="0" l="0" r="0" t="0"/>
            <wp:wrapSquare wrapText="bothSides" distB="114300" distT="114300" distL="114300" distR="114300"/>
            <wp:docPr id="1379944061"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4373479" cy="2460704"/>
                    </a:xfrm>
                    <a:prstGeom prst="rect"/>
                    <a:ln/>
                  </pic:spPr>
                </pic:pic>
              </a:graphicData>
            </a:graphic>
          </wp:anchor>
        </w:drawing>
      </w:r>
    </w:p>
    <w:p w:rsidR="00000000" w:rsidDel="00000000" w:rsidP="00000000" w:rsidRDefault="00000000" w:rsidRPr="00000000" w14:paraId="00000094">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95">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96">
      <w:pPr>
        <w:jc w:val="both"/>
        <w:rPr>
          <w:rFonts w:ascii="Arial" w:cs="Arial" w:eastAsia="Arial" w:hAnsi="Arial"/>
        </w:rPr>
      </w:pPr>
      <w:r w:rsidDel="00000000" w:rsidR="00000000" w:rsidRPr="00000000">
        <w:rPr>
          <w:rFonts w:ascii="Arial" w:cs="Arial" w:eastAsia="Arial" w:hAnsi="Arial"/>
          <w:b w:val="1"/>
          <w:bCs w:val="1"/>
          <w:rtl w:val="0"/>
        </w:rPr>
        <w:t xml:space="preserve">Objetivo:</w:t>
      </w:r>
      <w:r w:rsidDel="00000000" w:rsidR="00000000" w:rsidRPr="00000000">
        <w:rPr>
          <w:rFonts w:ascii="Arial" w:cs="Arial" w:eastAsia="Arial" w:hAnsi="Arial"/>
          <w:rtl w:val="0"/>
        </w:rPr>
        <w:t xml:space="preserve"> Posible concentración de mercado, favoritismo o captura del sistema por un proveedor dominante.</w:t>
      </w:r>
    </w:p>
    <w:p w:rsidR="00000000" w:rsidDel="00000000" w:rsidP="00000000" w:rsidRDefault="00000000" w:rsidRPr="00000000" w14:paraId="00000097">
      <w:pPr>
        <w:jc w:val="both"/>
        <w:rPr>
          <w:rFonts w:ascii="Arial" w:cs="Arial" w:eastAsia="Arial" w:hAnsi="Arial"/>
        </w:rPr>
      </w:pPr>
      <w:r w:rsidDel="00000000" w:rsidR="00000000" w:rsidRPr="00000000">
        <w:rPr>
          <w:rFonts w:ascii="Arial" w:cs="Arial" w:eastAsia="Arial" w:hAnsi="Arial"/>
          <w:b w:val="1"/>
          <w:bCs w:val="1"/>
          <w:rtl w:val="0"/>
        </w:rPr>
        <w:t xml:space="preserve">Origen de los datos:</w:t>
      </w:r>
      <w:r w:rsidDel="00000000" w:rsidR="00000000" w:rsidRPr="00000000">
        <w:rPr>
          <w:rFonts w:ascii="Arial" w:cs="Arial" w:eastAsia="Arial" w:hAnsi="Arial"/>
          <w:rtl w:val="0"/>
        </w:rPr>
        <w:t xml:space="preserve"> Base de procesos de contratación de Secop II.</w:t>
      </w:r>
    </w:p>
    <w:p w:rsidR="00000000" w:rsidDel="00000000" w:rsidP="00000000" w:rsidRDefault="00000000" w:rsidRPr="00000000" w14:paraId="00000098">
      <w:pPr>
        <w:jc w:val="both"/>
        <w:rPr>
          <w:rFonts w:ascii="Arial" w:cs="Arial" w:eastAsia="Arial" w:hAnsi="Arial"/>
        </w:rPr>
      </w:pPr>
      <w:r w:rsidDel="00000000" w:rsidR="00000000" w:rsidRPr="00000000">
        <w:rPr>
          <w:rFonts w:ascii="Arial" w:cs="Arial" w:eastAsia="Arial" w:hAnsi="Arial"/>
          <w:b w:val="1"/>
          <w:bCs w:val="1"/>
          <w:rtl w:val="0"/>
        </w:rPr>
        <w:t xml:space="preserve">Método de detección:</w:t>
      </w:r>
      <w:r w:rsidDel="00000000" w:rsidR="00000000" w:rsidRPr="00000000">
        <w:rPr>
          <w:rFonts w:ascii="Arial" w:cs="Arial" w:eastAsia="Arial" w:hAnsi="Arial"/>
          <w:rtl w:val="0"/>
        </w:rPr>
        <w:t xml:space="preserve"> Identificar si el proveedor supera 3 procesos adjudicados en los últimos 12 meses para una misma categoría de Código UNSPSC.</w:t>
      </w:r>
    </w:p>
    <w:p w:rsidR="00000000" w:rsidDel="00000000" w:rsidP="00000000" w:rsidRDefault="00000000" w:rsidRPr="00000000" w14:paraId="00000099">
      <w:pPr>
        <w:jc w:val="both"/>
        <w:rPr>
          <w:rFonts w:ascii="Arial" w:cs="Arial" w:eastAsia="Arial" w:hAnsi="Arial"/>
        </w:rPr>
      </w:pPr>
      <w:r w:rsidDel="00000000" w:rsidR="00000000" w:rsidRPr="00000000">
        <w:rPr>
          <w:rFonts w:ascii="Arial" w:cs="Arial" w:eastAsia="Arial" w:hAnsi="Arial"/>
          <w:rtl w:val="0"/>
        </w:rPr>
        <w:t xml:space="preserve">Para realizar el cálculo se deben tener en cuenta los datos de la opción “Seleccionado” de la columna “Estado del Procedimiento”. </w:t>
      </w:r>
    </w:p>
    <w:p w:rsidR="00000000" w:rsidDel="00000000" w:rsidP="00000000" w:rsidRDefault="00000000" w:rsidRPr="00000000" w14:paraId="0000009A">
      <w:pPr>
        <w:jc w:val="both"/>
        <w:rPr>
          <w:rFonts w:ascii="Arial" w:cs="Arial" w:eastAsia="Arial" w:hAnsi="Arial"/>
        </w:rPr>
      </w:pPr>
      <w:r w:rsidDel="00000000" w:rsidR="00000000" w:rsidRPr="00000000">
        <w:rPr>
          <w:rFonts w:ascii="Arial" w:cs="Arial" w:eastAsia="Arial" w:hAnsi="Arial"/>
          <w:rtl w:val="0"/>
        </w:rPr>
        <w:t xml:space="preserve">El tablero identifica proveedores que registran más de tres procesos adjudicados en un mismo año para el mismo bien o servicio. Esta configuración permite observar concentraciones por categoría de objeto contractual y período, y orientar análisis específicos hacia determinados segmentos.</w:t>
      </w:r>
    </w:p>
    <w:p w:rsidR="00000000" w:rsidDel="00000000" w:rsidP="00000000" w:rsidRDefault="00000000" w:rsidRPr="00000000" w14:paraId="0000009B">
      <w:pPr>
        <w:jc w:val="both"/>
        <w:rPr>
          <w:rFonts w:ascii="Arial" w:cs="Arial" w:eastAsia="Arial" w:hAnsi="Arial"/>
        </w:rPr>
      </w:pPr>
      <w:r w:rsidDel="00000000" w:rsidR="00000000" w:rsidRPr="00000000">
        <w:rPr>
          <w:rtl w:val="0"/>
        </w:rPr>
      </w:r>
    </w:p>
    <w:p w:rsidR="00000000" w:rsidDel="00000000" w:rsidP="00000000" w:rsidRDefault="00000000" w:rsidRPr="00000000" w14:paraId="0000009C">
      <w:pPr>
        <w:jc w:val="both"/>
        <w:rPr>
          <w:rFonts w:ascii="Arial" w:cs="Arial" w:eastAsia="Arial" w:hAnsi="Arial"/>
        </w:rPr>
      </w:pPr>
      <w:r w:rsidDel="00000000" w:rsidR="00000000" w:rsidRPr="00000000">
        <w:rPr>
          <w:rFonts w:ascii="Arial" w:cs="Arial" w:eastAsia="Arial" w:hAnsi="Arial"/>
          <w:b w:val="1"/>
          <w:bCs w:val="1"/>
          <w:rtl w:val="0"/>
        </w:rPr>
        <w:t xml:space="preserve">5.5. Situación 5: Incumplimientos por contratista</w:t>
      </w:r>
      <w:r w:rsidDel="00000000" w:rsidR="00000000" w:rsidRPr="00000000">
        <w:rPr>
          <w:rFonts w:ascii="Arial" w:cs="Arial" w:eastAsia="Arial" w:hAnsi="Arial"/>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639445</wp:posOffset>
            </wp:positionH>
            <wp:positionV relativeFrom="paragraph">
              <wp:posOffset>304800</wp:posOffset>
            </wp:positionV>
            <wp:extent cx="4332288" cy="2419903"/>
            <wp:effectExtent b="0" l="0" r="0" t="0"/>
            <wp:wrapSquare wrapText="bothSides" distB="114300" distT="114300" distL="114300" distR="114300"/>
            <wp:docPr id="1379944064"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4332288" cy="2419903"/>
                    </a:xfrm>
                    <a:prstGeom prst="rect"/>
                    <a:ln/>
                  </pic:spPr>
                </pic:pic>
              </a:graphicData>
            </a:graphic>
          </wp:anchor>
        </w:drawing>
      </w:r>
    </w:p>
    <w:p w:rsidR="00000000" w:rsidDel="00000000" w:rsidP="00000000" w:rsidRDefault="00000000" w:rsidRPr="00000000" w14:paraId="0000009D">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9E">
      <w:pPr>
        <w:jc w:val="both"/>
        <w:rPr>
          <w:rFonts w:ascii="Arial" w:cs="Arial" w:eastAsia="Arial" w:hAnsi="Arial"/>
        </w:rPr>
      </w:pPr>
      <w:r w:rsidDel="00000000" w:rsidR="00000000" w:rsidRPr="00000000">
        <w:rPr>
          <w:rFonts w:ascii="Arial" w:cs="Arial" w:eastAsia="Arial" w:hAnsi="Arial"/>
          <w:b w:val="1"/>
          <w:bCs w:val="1"/>
          <w:rtl w:val="0"/>
        </w:rPr>
        <w:t xml:space="preserve">Objetivo: </w:t>
      </w:r>
      <w:r w:rsidDel="00000000" w:rsidR="00000000" w:rsidRPr="00000000">
        <w:rPr>
          <w:rFonts w:ascii="Arial" w:cs="Arial" w:eastAsia="Arial" w:hAnsi="Arial"/>
          <w:rtl w:val="0"/>
        </w:rPr>
        <w:t xml:space="preserve">Identificar la cantidad de sanciones asociadas a cada contratista, con el fin de prevenir la configuración de inhabilidades y evitar posibles faltas disciplinarias por parte de los funcionarios que suscriban nuevos contratos.</w:t>
        <w:tab/>
        <w:t xml:space="preserve">- </w:t>
      </w:r>
    </w:p>
    <w:p w:rsidR="00000000" w:rsidDel="00000000" w:rsidP="00000000" w:rsidRDefault="00000000" w:rsidRPr="00000000" w14:paraId="0000009F">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Origen de los datos: </w:t>
      </w:r>
    </w:p>
    <w:p w:rsidR="00000000" w:rsidDel="00000000" w:rsidP="00000000" w:rsidRDefault="00000000" w:rsidRPr="00000000" w14:paraId="000000A0">
      <w:pPr>
        <w:numPr>
          <w:ilvl w:val="0"/>
          <w:numId w:val="9"/>
        </w:numPr>
        <w:spacing w:after="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Base de multas y sanciones de Secop II.</w:t>
      </w:r>
    </w:p>
    <w:p w:rsidR="00000000" w:rsidDel="00000000" w:rsidP="00000000" w:rsidRDefault="00000000" w:rsidRPr="00000000" w14:paraId="000000A1">
      <w:pPr>
        <w:numPr>
          <w:ilvl w:val="0"/>
          <w:numId w:val="9"/>
        </w:numPr>
        <w:spacing w:after="240" w:lineRule="auto"/>
        <w:ind w:left="720" w:hanging="360"/>
        <w:jc w:val="both"/>
        <w:rPr>
          <w:rFonts w:ascii="Arial" w:cs="Arial" w:eastAsia="Arial" w:hAnsi="Arial"/>
        </w:rPr>
      </w:pPr>
      <w:r w:rsidDel="00000000" w:rsidR="00000000" w:rsidRPr="00000000">
        <w:rPr>
          <w:rFonts w:ascii="Arial" w:cs="Arial" w:eastAsia="Arial" w:hAnsi="Arial"/>
          <w:rtl w:val="0"/>
        </w:rPr>
        <w:t xml:space="preserve">Base de contratos electrónicos de Secop II </w:t>
      </w:r>
    </w:p>
    <w:p w:rsidR="00000000" w:rsidDel="00000000" w:rsidP="00000000" w:rsidRDefault="00000000" w:rsidRPr="00000000" w14:paraId="000000A2">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Método de detección:</w:t>
      </w:r>
      <w:r w:rsidDel="00000000" w:rsidR="00000000" w:rsidRPr="00000000">
        <w:rPr>
          <w:rFonts w:ascii="Arial" w:cs="Arial" w:eastAsia="Arial" w:hAnsi="Arial"/>
          <w:rtl w:val="0"/>
        </w:rPr>
        <w:t xml:space="preserve"> Recuento de los contratos con sanciones registrados en la base de multas. Para obtener los datos del contratista se busca el “ID del Contrato” en la base de Contratos electrónicos. </w:t>
        <w:tab/>
        <w:tab/>
        <w:tab/>
        <w:tab/>
        <w:tab/>
        <w:tab/>
        <w:tab/>
      </w:r>
    </w:p>
    <w:p w:rsidR="00000000" w:rsidDel="00000000" w:rsidP="00000000" w:rsidRDefault="00000000" w:rsidRPr="00000000" w14:paraId="000000A3">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Para complementar la información de las gráficas, como el objeto del contrato en el que se generó́ el incumplimiento, se busca sí el ID del Contrato incumplido está en la base de contratos.</w:t>
      </w:r>
    </w:p>
    <w:p w:rsidR="00000000" w:rsidDel="00000000" w:rsidP="00000000" w:rsidRDefault="00000000" w:rsidRPr="00000000" w14:paraId="000000A4">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Para las bases de “Multas y sanciones” y “Contratos” se incluye una vista orientada a la calidad de los datos. En esta vista se identifican registros de multas y sanciones con ID de contrato “No definido” o sin coincidencia en la tabla de contratos, así como registros con tipo de sanción “No definido”. Esa información evidencia problemas en la calidad de los datos que afectan la trazabilidad y el análisis de las sanciones contractuales.</w:t>
      </w:r>
    </w:p>
    <w:p w:rsidR="00000000" w:rsidDel="00000000" w:rsidP="00000000" w:rsidRDefault="00000000" w:rsidRPr="00000000" w14:paraId="000000A5">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6">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7">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8">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9">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A">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5.6. Situación 6: Valor pagado superior al valor inicial del contrato</w:t>
      </w:r>
      <w:r w:rsidDel="00000000" w:rsidR="00000000" w:rsidRPr="00000000">
        <w:rPr>
          <w:rFonts w:ascii="Arial" w:cs="Arial" w:eastAsia="Arial" w:hAnsi="Arial"/>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620395</wp:posOffset>
            </wp:positionH>
            <wp:positionV relativeFrom="paragraph">
              <wp:posOffset>304800</wp:posOffset>
            </wp:positionV>
            <wp:extent cx="4370388" cy="2463444"/>
            <wp:effectExtent b="0" l="0" r="0" t="0"/>
            <wp:wrapSquare wrapText="bothSides" distB="114300" distT="114300" distL="114300" distR="114300"/>
            <wp:docPr id="1379944056"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4370388" cy="2463444"/>
                    </a:xfrm>
                    <a:prstGeom prst="rect"/>
                    <a:ln/>
                  </pic:spPr>
                </pic:pic>
              </a:graphicData>
            </a:graphic>
          </wp:anchor>
        </w:drawing>
      </w:r>
    </w:p>
    <w:p w:rsidR="00000000" w:rsidDel="00000000" w:rsidP="00000000" w:rsidRDefault="00000000" w:rsidRPr="00000000" w14:paraId="000000AB">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C">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Objetivo:</w:t>
      </w:r>
      <w:r w:rsidDel="00000000" w:rsidR="00000000" w:rsidRPr="00000000">
        <w:rPr>
          <w:rFonts w:ascii="Arial" w:cs="Arial" w:eastAsia="Arial" w:hAnsi="Arial"/>
          <w:rtl w:val="0"/>
        </w:rPr>
        <w:t xml:space="preserve"> Detectar contratos con diferencias no justificadas en adiciones. </w:t>
        <w:tab/>
        <w:tab/>
        <w:tab/>
        <w:tab/>
        <w:tab/>
        <w:tab/>
        <w:br w:type="textWrapping"/>
      </w:r>
      <w:r w:rsidDel="00000000" w:rsidR="00000000" w:rsidRPr="00000000">
        <w:rPr>
          <w:rFonts w:ascii="Arial" w:cs="Arial" w:eastAsia="Arial" w:hAnsi="Arial"/>
          <w:b w:val="1"/>
          <w:bCs w:val="1"/>
          <w:rtl w:val="0"/>
        </w:rPr>
        <w:t xml:space="preserve">Origen de los datos:</w:t>
      </w:r>
    </w:p>
    <w:p w:rsidR="00000000" w:rsidDel="00000000" w:rsidP="00000000" w:rsidRDefault="00000000" w:rsidRPr="00000000" w14:paraId="000000AD">
      <w:pPr>
        <w:numPr>
          <w:ilvl w:val="0"/>
          <w:numId w:val="2"/>
        </w:numPr>
        <w:spacing w:after="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Base de contratos electrónicos de Secop II. </w:t>
      </w:r>
    </w:p>
    <w:p w:rsidR="00000000" w:rsidDel="00000000" w:rsidP="00000000" w:rsidRDefault="00000000" w:rsidRPr="00000000" w14:paraId="000000AE">
      <w:pPr>
        <w:numPr>
          <w:ilvl w:val="0"/>
          <w:numId w:val="2"/>
        </w:numPr>
        <w:spacing w:after="240" w:lineRule="auto"/>
        <w:ind w:left="720" w:hanging="360"/>
        <w:jc w:val="both"/>
        <w:rPr>
          <w:rFonts w:ascii="Arial" w:cs="Arial" w:eastAsia="Arial" w:hAnsi="Arial"/>
        </w:rPr>
      </w:pPr>
      <w:r w:rsidDel="00000000" w:rsidR="00000000" w:rsidRPr="00000000">
        <w:rPr>
          <w:rFonts w:ascii="Arial" w:cs="Arial" w:eastAsia="Arial" w:hAnsi="Arial"/>
          <w:rtl w:val="0"/>
        </w:rPr>
        <w:t xml:space="preserve">Base de adiciones de Secop II </w:t>
      </w:r>
    </w:p>
    <w:p w:rsidR="00000000" w:rsidDel="00000000" w:rsidP="00000000" w:rsidRDefault="00000000" w:rsidRPr="00000000" w14:paraId="000000AF">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Método de detección: </w:t>
      </w:r>
      <w:r w:rsidDel="00000000" w:rsidR="00000000" w:rsidRPr="00000000">
        <w:rPr>
          <w:rFonts w:ascii="Arial" w:cs="Arial" w:eastAsia="Arial" w:hAnsi="Arial"/>
          <w:rtl w:val="0"/>
        </w:rPr>
        <w:t xml:space="preserve">Esta bandera sí tiene el filtro de las entidades de Bogotá D.C. Comparación entre el valor pagado y el valor inicial del contrato, considerando si el contrato ha sido o no adicionado, es decir:</w:t>
        <w:tab/>
        <w:tab/>
        <w:tab/>
        <w:t xml:space="preserve"> </w:t>
        <w:tab/>
        <w:tab/>
        <w:tab/>
        <w:tab/>
      </w:r>
    </w:p>
    <w:p w:rsidR="00000000" w:rsidDel="00000000" w:rsidP="00000000" w:rsidRDefault="00000000" w:rsidRPr="00000000" w14:paraId="000000B0">
      <w:pPr>
        <w:numPr>
          <w:ilvl w:val="0"/>
          <w:numId w:val="5"/>
        </w:numPr>
        <w:spacing w:after="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Identificar si el valor pagado es superior al valor inicial del contrato.</w:t>
      </w:r>
    </w:p>
    <w:p w:rsidR="00000000" w:rsidDel="00000000" w:rsidP="00000000" w:rsidRDefault="00000000" w:rsidRPr="00000000" w14:paraId="000000B1">
      <w:pPr>
        <w:numPr>
          <w:ilvl w:val="0"/>
          <w:numId w:val="5"/>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Si es correcto, se busca ese ID del Contrato en la base de adiciones. </w:t>
      </w:r>
    </w:p>
    <w:p w:rsidR="00000000" w:rsidDel="00000000" w:rsidP="00000000" w:rsidRDefault="00000000" w:rsidRPr="00000000" w14:paraId="000000B2">
      <w:pPr>
        <w:numPr>
          <w:ilvl w:val="0"/>
          <w:numId w:val="5"/>
        </w:numPr>
        <w:spacing w:after="240" w:lineRule="auto"/>
        <w:ind w:left="720" w:hanging="360"/>
        <w:jc w:val="both"/>
        <w:rPr>
          <w:rFonts w:ascii="Arial" w:cs="Arial" w:eastAsia="Arial" w:hAnsi="Arial"/>
        </w:rPr>
      </w:pPr>
      <w:r w:rsidDel="00000000" w:rsidR="00000000" w:rsidRPr="00000000">
        <w:rPr>
          <w:rFonts w:ascii="Arial" w:cs="Arial" w:eastAsia="Arial" w:hAnsi="Arial"/>
          <w:rtl w:val="0"/>
        </w:rPr>
        <w:t xml:space="preserve">Si el contrato está en la base de adiciones, no hay alerta. Pero, si no está en la base de adiciones, se genera una alerta porque el mayor valor pagado no está justificado. </w:t>
      </w:r>
    </w:p>
    <w:p w:rsidR="00000000" w:rsidDel="00000000" w:rsidP="00000000" w:rsidRDefault="00000000" w:rsidRPr="00000000" w14:paraId="000000B3">
      <w:pPr>
        <w:spacing w:after="240" w:lineRule="auto"/>
        <w:jc w:val="both"/>
        <w:rPr>
          <w:rFonts w:ascii="Arial" w:cs="Arial" w:eastAsia="Arial" w:hAnsi="Arial"/>
        </w:rPr>
      </w:pPr>
      <w:r w:rsidDel="00000000" w:rsidR="00000000" w:rsidRPr="00000000">
        <w:rPr>
          <w:rFonts w:ascii="Arial" w:cs="Arial" w:eastAsia="Arial" w:hAnsi="Arial"/>
          <w:rtl w:val="0"/>
        </w:rPr>
        <w:t xml:space="preserve">Con base en las tablas de “Adiciones” y “Contratos” de entidades distritales, el tablero identifica los contratos que no registran adiciones y, de forma diferenciada, los contratos cuyo valor pagado supera el valor inicialmente pactado. Esta vista permite ubicar casos en los que se presentan incrementos en la ejecución económica sin respaldo en adiciones formalizadas, o situaciones en las que resulta necesario revisar la coherencia entre el valor del contrato y los pagos efectuados.</w:t>
      </w:r>
    </w:p>
    <w:p w:rsidR="00000000" w:rsidDel="00000000" w:rsidP="00000000" w:rsidRDefault="00000000" w:rsidRPr="00000000" w14:paraId="000000B4">
      <w:pPr>
        <w:spacing w:after="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5">
      <w:pPr>
        <w:spacing w:after="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6">
      <w:pPr>
        <w:spacing w:after="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7">
      <w:pPr>
        <w:spacing w:after="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B8">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5.7. Situación 7: Modificaciones por contrato</w:t>
      </w:r>
      <w:r w:rsidDel="00000000" w:rsidR="00000000" w:rsidRPr="00000000">
        <w:rPr>
          <w:rFonts w:ascii="Arial" w:cs="Arial" w:eastAsia="Arial" w:hAnsi="Arial"/>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639445</wp:posOffset>
            </wp:positionH>
            <wp:positionV relativeFrom="paragraph">
              <wp:posOffset>276225</wp:posOffset>
            </wp:positionV>
            <wp:extent cx="4336194" cy="2436809"/>
            <wp:effectExtent b="0" l="0" r="0" t="0"/>
            <wp:wrapSquare wrapText="bothSides" distB="114300" distT="114300" distL="114300" distR="114300"/>
            <wp:docPr id="1379944063"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4336194" cy="2436809"/>
                    </a:xfrm>
                    <a:prstGeom prst="rect"/>
                    <a:ln/>
                  </pic:spPr>
                </pic:pic>
              </a:graphicData>
            </a:graphic>
          </wp:anchor>
        </w:drawing>
      </w:r>
    </w:p>
    <w:p w:rsidR="00000000" w:rsidDel="00000000" w:rsidP="00000000" w:rsidRDefault="00000000" w:rsidRPr="00000000" w14:paraId="000000B9">
      <w:pPr>
        <w:spacing w:after="240" w:before="240" w:lineRule="auto"/>
        <w:jc w:val="both"/>
        <w:rPr>
          <w:rFonts w:ascii="Arial" w:cs="Arial" w:eastAsia="Arial" w:hAnsi="Arial"/>
        </w:rPr>
      </w:pPr>
      <w:r w:rsidDel="00000000" w:rsidR="00000000" w:rsidRPr="00000000">
        <w:rPr>
          <w:rFonts w:ascii="Arial" w:cs="Arial" w:eastAsia="Arial" w:hAnsi="Arial"/>
          <w:rtl w:val="0"/>
        </w:rPr>
        <w:tab/>
        <w:tab/>
        <w:tab/>
      </w:r>
    </w:p>
    <w:p w:rsidR="00000000" w:rsidDel="00000000" w:rsidP="00000000" w:rsidRDefault="00000000" w:rsidRPr="00000000" w14:paraId="000000BA">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Objetivo:</w:t>
      </w:r>
      <w:r w:rsidDel="00000000" w:rsidR="00000000" w:rsidRPr="00000000">
        <w:rPr>
          <w:rFonts w:ascii="Arial" w:cs="Arial" w:eastAsia="Arial" w:hAnsi="Arial"/>
          <w:rtl w:val="0"/>
        </w:rPr>
        <w:t xml:space="preserve"> Establecer, a partir del comportamiento histórico de las entidades distritales, un valor de referencia de modificaciones por contrato para identificar aquellos que lo superan y qué pueden reflejar fallas. </w:t>
        <w:tab/>
      </w:r>
    </w:p>
    <w:p w:rsidR="00000000" w:rsidDel="00000000" w:rsidP="00000000" w:rsidRDefault="00000000" w:rsidRPr="00000000" w14:paraId="000000BB">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Origen de los datos:</w:t>
      </w:r>
      <w:r w:rsidDel="00000000" w:rsidR="00000000" w:rsidRPr="00000000">
        <w:rPr>
          <w:rFonts w:ascii="Arial" w:cs="Arial" w:eastAsia="Arial" w:hAnsi="Arial"/>
          <w:rtl w:val="0"/>
        </w:rPr>
        <w:tab/>
        <w:tab/>
      </w:r>
    </w:p>
    <w:p w:rsidR="00000000" w:rsidDel="00000000" w:rsidP="00000000" w:rsidRDefault="00000000" w:rsidRPr="00000000" w14:paraId="000000BC">
      <w:pPr>
        <w:numPr>
          <w:ilvl w:val="0"/>
          <w:numId w:val="16"/>
        </w:numPr>
        <w:spacing w:after="0" w:before="240" w:lineRule="auto"/>
        <w:ind w:left="720" w:hanging="360"/>
        <w:rPr>
          <w:rFonts w:ascii="Arial" w:cs="Arial" w:eastAsia="Arial" w:hAnsi="Arial"/>
        </w:rPr>
      </w:pPr>
      <w:r w:rsidDel="00000000" w:rsidR="00000000" w:rsidRPr="00000000">
        <w:rPr>
          <w:rFonts w:ascii="Arial" w:cs="Arial" w:eastAsia="Arial" w:hAnsi="Arial"/>
          <w:rtl w:val="0"/>
        </w:rPr>
        <w:t xml:space="preserve">Base de contratos electrónicos de Secop II.</w:t>
      </w:r>
    </w:p>
    <w:p w:rsidR="00000000" w:rsidDel="00000000" w:rsidP="00000000" w:rsidRDefault="00000000" w:rsidRPr="00000000" w14:paraId="000000BD">
      <w:pPr>
        <w:numPr>
          <w:ilvl w:val="0"/>
          <w:numId w:val="16"/>
        </w:numPr>
        <w:spacing w:after="240" w:lineRule="auto"/>
        <w:ind w:left="720" w:hanging="360"/>
        <w:rPr>
          <w:rFonts w:ascii="Arial" w:cs="Arial" w:eastAsia="Arial" w:hAnsi="Arial"/>
        </w:rPr>
      </w:pPr>
      <w:r w:rsidDel="00000000" w:rsidR="00000000" w:rsidRPr="00000000">
        <w:rPr>
          <w:rFonts w:ascii="Arial" w:cs="Arial" w:eastAsia="Arial" w:hAnsi="Arial"/>
          <w:rtl w:val="0"/>
        </w:rPr>
        <w:t xml:space="preserve">Base de modificaciones de Secop II. </w:t>
      </w:r>
    </w:p>
    <w:p w:rsidR="00000000" w:rsidDel="00000000" w:rsidP="00000000" w:rsidRDefault="00000000" w:rsidRPr="00000000" w14:paraId="000000BE">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Método de detección:</w:t>
      </w:r>
      <w:r w:rsidDel="00000000" w:rsidR="00000000" w:rsidRPr="00000000">
        <w:rPr>
          <w:rFonts w:ascii="Arial" w:cs="Arial" w:eastAsia="Arial" w:hAnsi="Arial"/>
          <w:rtl w:val="0"/>
        </w:rPr>
        <w:t xml:space="preserve"> Análisis de las modificaciones realizadas en los contratos aprobados, así como la cantidad de versiones registradas. Para realizar el cálculo:</w:t>
      </w:r>
    </w:p>
    <w:p w:rsidR="00000000" w:rsidDel="00000000" w:rsidP="00000000" w:rsidRDefault="00000000" w:rsidRPr="00000000" w14:paraId="000000BF">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Para definir ese valor de referencia se ordenan los contratos según el número de modificaciones y se toma el valor que ocupa la posición central del conjunto (de 1 a 11). De esta forma, los contratos con muchos cambios no dominan el resultado y el análisis se ajusta mejor al comportamiento usual de las modificaciones en la contratación distrital. </w:t>
      </w:r>
    </w:p>
    <w:p w:rsidR="00000000" w:rsidDel="00000000" w:rsidP="00000000" w:rsidRDefault="00000000" w:rsidRPr="00000000" w14:paraId="000000C0">
      <w:pPr>
        <w:jc w:val="both"/>
        <w:rPr>
          <w:rFonts w:ascii="Arial" w:cs="Arial" w:eastAsia="Arial" w:hAnsi="Arial"/>
          <w:b w:val="1"/>
          <w:bCs w:val="1"/>
        </w:rPr>
      </w:pPr>
      <w:r w:rsidDel="00000000" w:rsidR="00000000" w:rsidRPr="00000000">
        <w:rPr>
          <w:rFonts w:ascii="Arial" w:cs="Arial" w:eastAsia="Arial" w:hAnsi="Arial"/>
          <w:b w:val="1"/>
          <w:bCs w:val="1"/>
          <w:rtl w:val="0"/>
        </w:rPr>
        <w:t xml:space="preserve">5.8. Situación 8: Vencimiento del plazo de liquidación en el término previsto para hacerlo de forma bilateral y unilateral </w:t>
      </w:r>
      <w:r w:rsidDel="00000000" w:rsidR="00000000" w:rsidRPr="00000000">
        <w:drawing>
          <wp:anchor allowOverlap="1" behindDoc="0" distB="114300" distT="114300" distL="114300" distR="114300" hidden="0" layoutInCell="1" locked="0" relativeHeight="0" simplePos="0">
            <wp:simplePos x="0" y="0"/>
            <wp:positionH relativeFrom="column">
              <wp:posOffset>638175</wp:posOffset>
            </wp:positionH>
            <wp:positionV relativeFrom="paragraph">
              <wp:posOffset>495300</wp:posOffset>
            </wp:positionV>
            <wp:extent cx="4333875" cy="2435505"/>
            <wp:effectExtent b="0" l="0" r="0" t="0"/>
            <wp:wrapSquare wrapText="bothSides" distB="114300" distT="114300" distL="114300" distR="114300"/>
            <wp:docPr id="1379944068"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4333875" cy="2435505"/>
                    </a:xfrm>
                    <a:prstGeom prst="rect"/>
                    <a:ln/>
                  </pic:spPr>
                </pic:pic>
              </a:graphicData>
            </a:graphic>
          </wp:anchor>
        </w:drawing>
      </w:r>
    </w:p>
    <w:p w:rsidR="00000000" w:rsidDel="00000000" w:rsidP="00000000" w:rsidRDefault="00000000" w:rsidRPr="00000000" w14:paraId="000000C1">
      <w:pPr>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C2">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Objetivo:</w:t>
      </w:r>
      <w:r w:rsidDel="00000000" w:rsidR="00000000" w:rsidRPr="00000000">
        <w:rPr>
          <w:rFonts w:ascii="Arial" w:cs="Arial" w:eastAsia="Arial" w:hAnsi="Arial"/>
          <w:rtl w:val="0"/>
        </w:rPr>
        <w:t xml:space="preserve"> Alertar sobre contratos que superan el plazo legal para la liquidación unilateral.</w:t>
      </w:r>
    </w:p>
    <w:p w:rsidR="00000000" w:rsidDel="00000000" w:rsidP="00000000" w:rsidRDefault="00000000" w:rsidRPr="00000000" w14:paraId="000000C3">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Origen de los datos:</w:t>
      </w:r>
      <w:r w:rsidDel="00000000" w:rsidR="00000000" w:rsidRPr="00000000">
        <w:rPr>
          <w:rFonts w:ascii="Arial" w:cs="Arial" w:eastAsia="Arial" w:hAnsi="Arial"/>
          <w:rtl w:val="0"/>
        </w:rPr>
        <w:tab/>
        <w:tab/>
      </w:r>
    </w:p>
    <w:p w:rsidR="00000000" w:rsidDel="00000000" w:rsidP="00000000" w:rsidRDefault="00000000" w:rsidRPr="00000000" w14:paraId="000000C4">
      <w:pPr>
        <w:numPr>
          <w:ilvl w:val="0"/>
          <w:numId w:val="16"/>
        </w:numPr>
        <w:spacing w:after="240" w:before="240" w:lineRule="auto"/>
        <w:ind w:left="720" w:hanging="360"/>
        <w:rPr>
          <w:rFonts w:ascii="Arial" w:cs="Arial" w:eastAsia="Arial" w:hAnsi="Arial"/>
        </w:rPr>
      </w:pPr>
      <w:r w:rsidDel="00000000" w:rsidR="00000000" w:rsidRPr="00000000">
        <w:rPr>
          <w:rFonts w:ascii="Arial" w:cs="Arial" w:eastAsia="Arial" w:hAnsi="Arial"/>
          <w:rtl w:val="0"/>
        </w:rPr>
        <w:t xml:space="preserve">Base de contratos electrónicos de Secop II.</w:t>
      </w:r>
    </w:p>
    <w:p w:rsidR="00000000" w:rsidDel="00000000" w:rsidP="00000000" w:rsidRDefault="00000000" w:rsidRPr="00000000" w14:paraId="000000C5">
      <w:pPr>
        <w:spacing w:after="0" w:lineRule="auto"/>
        <w:jc w:val="both"/>
        <w:rPr>
          <w:rFonts w:ascii="Arial" w:cs="Arial" w:eastAsia="Arial" w:hAnsi="Arial"/>
        </w:rPr>
      </w:pPr>
      <w:r w:rsidDel="00000000" w:rsidR="00000000" w:rsidRPr="00000000">
        <w:rPr>
          <w:rFonts w:ascii="Arial" w:cs="Arial" w:eastAsia="Arial" w:hAnsi="Arial"/>
          <w:b w:val="1"/>
          <w:bCs w:val="1"/>
          <w:rtl w:val="0"/>
        </w:rPr>
        <w:t xml:space="preserve">Método de detección:</w:t>
      </w:r>
      <w:r w:rsidDel="00000000" w:rsidR="00000000" w:rsidRPr="00000000">
        <w:rPr>
          <w:rFonts w:ascii="Arial" w:cs="Arial" w:eastAsia="Arial" w:hAnsi="Arial"/>
          <w:rtl w:val="0"/>
        </w:rPr>
        <w:t xml:space="preserve"> Se verifica si los contratos con la opción “Sí” en la columna “Liquidación” excedieron el plazo de 6 meses desde la columna “Fecha fin de contrato”. </w:t>
      </w:r>
    </w:p>
    <w:p w:rsidR="00000000" w:rsidDel="00000000" w:rsidP="00000000" w:rsidRDefault="00000000" w:rsidRPr="00000000" w14:paraId="000000C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40" w:before="240" w:line="259" w:lineRule="auto"/>
        <w:ind w:left="360" w:right="0" w:hanging="36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Análisis de datos </w:t>
      </w:r>
    </w:p>
    <w:p w:rsidR="00000000" w:rsidDel="00000000" w:rsidP="00000000" w:rsidRDefault="00000000" w:rsidRPr="00000000" w14:paraId="000000C7">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6.1. Extracción de datos</w:t>
      </w:r>
    </w:p>
    <w:p w:rsidR="00000000" w:rsidDel="00000000" w:rsidP="00000000" w:rsidRDefault="00000000" w:rsidRPr="00000000" w14:paraId="000000C8">
      <w:pPr>
        <w:numPr>
          <w:ilvl w:val="0"/>
          <w:numId w:val="3"/>
        </w:numPr>
        <w:spacing w:after="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La extracción de los datos fuente del servicio de Datos Abiertos de SECOP, se realiza mediante la API disponible a través del protocolo OData (Open Data Protocol).</w:t>
      </w:r>
    </w:p>
    <w:p w:rsidR="00000000" w:rsidDel="00000000" w:rsidP="00000000" w:rsidRDefault="00000000" w:rsidRPr="00000000" w14:paraId="000000C9">
      <w:pPr>
        <w:numPr>
          <w:ilvl w:val="0"/>
          <w:numId w:val="3"/>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La transformación y el cargue de la información se efectúan con el Lenguaje M y DAX, herramientas integradas en Power BI.</w:t>
      </w:r>
    </w:p>
    <w:p w:rsidR="00000000" w:rsidDel="00000000" w:rsidP="00000000" w:rsidRDefault="00000000" w:rsidRPr="00000000" w14:paraId="000000CA">
      <w:pPr>
        <w:numPr>
          <w:ilvl w:val="0"/>
          <w:numId w:val="3"/>
        </w:numPr>
        <w:spacing w:after="240" w:lineRule="auto"/>
        <w:ind w:left="720" w:hanging="360"/>
        <w:jc w:val="both"/>
        <w:rPr>
          <w:rFonts w:ascii="Arial" w:cs="Arial" w:eastAsia="Arial" w:hAnsi="Arial"/>
        </w:rPr>
      </w:pPr>
      <w:r w:rsidDel="00000000" w:rsidR="00000000" w:rsidRPr="00000000">
        <w:rPr>
          <w:rFonts w:ascii="Arial" w:cs="Arial" w:eastAsia="Arial" w:hAnsi="Arial"/>
          <w:rtl w:val="0"/>
        </w:rPr>
        <w:t xml:space="preserve">Por su parte, la publicación y visualización de los reportes se realiza mediante la plataforma Power BI Service.</w:t>
      </w:r>
    </w:p>
    <w:p w:rsidR="00000000" w:rsidDel="00000000" w:rsidP="00000000" w:rsidRDefault="00000000" w:rsidRPr="00000000" w14:paraId="000000CB">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La totalidad de estas funcionalidades se encuentra comprendida en la licencia de Power BI. No obstante, el usuario final solo requiere de acceso a internet para visualizar los tableros.</w:t>
      </w:r>
    </w:p>
    <w:p w:rsidR="00000000" w:rsidDel="00000000" w:rsidP="00000000" w:rsidRDefault="00000000" w:rsidRPr="00000000" w14:paraId="000000CC">
      <w:pPr>
        <w:spacing w:after="240" w:before="240" w:lineRule="auto"/>
        <w:jc w:val="both"/>
        <w:rPr>
          <w:rFonts w:ascii="Arial" w:cs="Arial" w:eastAsia="Arial" w:hAnsi="Arial"/>
        </w:rPr>
      </w:pPr>
      <w:r w:rsidDel="00000000" w:rsidR="00000000" w:rsidRPr="00000000">
        <w:rPr>
          <w:rFonts w:ascii="Arial" w:cs="Arial" w:eastAsia="Arial" w:hAnsi="Arial"/>
          <w:b w:val="1"/>
          <w:bCs w:val="1"/>
          <w:rtl w:val="0"/>
        </w:rPr>
        <w:t xml:space="preserve">6.2. Transformación de datos</w:t>
      </w:r>
      <w:r w:rsidDel="00000000" w:rsidR="00000000" w:rsidRPr="00000000">
        <w:rPr>
          <w:rtl w:val="0"/>
        </w:rPr>
      </w:r>
    </w:p>
    <w:p w:rsidR="00000000" w:rsidDel="00000000" w:rsidP="00000000" w:rsidRDefault="00000000" w:rsidRPr="00000000" w14:paraId="000000CD">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Los datos obtenidos son objeto de transformación en el módulo Power Query, con el propósito de garantizar su adecuada lectura y presentación. A su vez, se realiza el filtrado de los registros correspondientes a las entidades del Distrito, debido a que las bases de datos descargadas contienen información de todo el país.</w:t>
      </w:r>
    </w:p>
    <w:p w:rsidR="00000000" w:rsidDel="00000000" w:rsidP="00000000" w:rsidRDefault="00000000" w:rsidRPr="00000000" w14:paraId="000000CE">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El proceso comprende:</w:t>
      </w:r>
    </w:p>
    <w:p w:rsidR="00000000" w:rsidDel="00000000" w:rsidP="00000000" w:rsidRDefault="00000000" w:rsidRPr="00000000" w14:paraId="000000CF">
      <w:pPr>
        <w:numPr>
          <w:ilvl w:val="0"/>
          <w:numId w:val="6"/>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El cambio de denominación de campos. </w:t>
      </w:r>
    </w:p>
    <w:p w:rsidR="00000000" w:rsidDel="00000000" w:rsidP="00000000" w:rsidRDefault="00000000" w:rsidRPr="00000000" w14:paraId="000000D0">
      <w:pPr>
        <w:numPr>
          <w:ilvl w:val="0"/>
          <w:numId w:val="6"/>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La eliminación de variables no requeridas. </w:t>
      </w:r>
    </w:p>
    <w:p w:rsidR="00000000" w:rsidDel="00000000" w:rsidP="00000000" w:rsidRDefault="00000000" w:rsidRPr="00000000" w14:paraId="000000D1">
      <w:pPr>
        <w:numPr>
          <w:ilvl w:val="0"/>
          <w:numId w:val="6"/>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La conversión a mayúsculas de determinados campos de tipo texto.</w:t>
      </w:r>
    </w:p>
    <w:p w:rsidR="00000000" w:rsidDel="00000000" w:rsidP="00000000" w:rsidRDefault="00000000" w:rsidRPr="00000000" w14:paraId="000000D2">
      <w:pPr>
        <w:numPr>
          <w:ilvl w:val="0"/>
          <w:numId w:val="6"/>
        </w:numPr>
        <w:spacing w:after="0" w:lineRule="auto"/>
        <w:ind w:left="720" w:hanging="360"/>
        <w:jc w:val="both"/>
        <w:rPr>
          <w:rFonts w:ascii="Arial" w:cs="Arial" w:eastAsia="Arial" w:hAnsi="Arial"/>
        </w:rPr>
      </w:pPr>
      <w:r w:rsidDel="00000000" w:rsidR="00000000" w:rsidRPr="00000000">
        <w:rPr>
          <w:rFonts w:ascii="Arial" w:cs="Arial" w:eastAsia="Arial" w:hAnsi="Arial"/>
          <w:rtl w:val="0"/>
        </w:rPr>
        <w:t xml:space="preserve">En lo que respecta a los campos de tipo fecha, se realiza la conversión del formato de texto a formato fecha, con el fin de asegurar su correcta interpretación, dado que en las bases de datos extraídas la información se encuentra originalmente en formato texto.</w:t>
      </w:r>
    </w:p>
    <w:p w:rsidR="00000000" w:rsidDel="00000000" w:rsidP="00000000" w:rsidRDefault="00000000" w:rsidRPr="00000000" w14:paraId="000000D3">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6.3. Modelo de datos y carga</w:t>
      </w:r>
    </w:p>
    <w:p w:rsidR="00000000" w:rsidDel="00000000" w:rsidP="00000000" w:rsidRDefault="00000000" w:rsidRPr="00000000" w14:paraId="000000D4">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Una base de datos es un conjunto organizado de información que permite su almacenamiento, administración y consulta eficiente. Para estos tableros, los datos se obtienen del servicio de Datos Abiertos de SECOP, y provienen de las bases de datos principales denominadas “Procesos de contratación”, “Contratos electrónicos” y “Multas”, así como de las bases de datos secundarias “Sanciones”, “Adiciones” y “Modificaciones”.</w:t>
      </w:r>
    </w:p>
    <w:p w:rsidR="00000000" w:rsidDel="00000000" w:rsidP="00000000" w:rsidRDefault="00000000" w:rsidRPr="00000000" w14:paraId="000000D5">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Una vez almacenada la información en Power BI, se definen las relaciones entre las tablas con el propósito de estructurar un modelo de datos coherente, funcional y orientado al análisis. </w:t>
      </w:r>
    </w:p>
    <w:p w:rsidR="00000000" w:rsidDel="00000000" w:rsidP="00000000" w:rsidRDefault="00000000" w:rsidRPr="00000000" w14:paraId="000000D6">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En ese contexto, se consolida una tabla principal con registros únicos de las entidades del Distrito, cuya finalidad radica en la depuración de duplicidades y en la unificación de la denominación de las entidades y de sus características asociadas. De igual forma, incluye una tabla de códigos UNSPSC con su respectiva descripción, lo que facilita la estandarización de la clasificación de bienes y servicios. Por su naturaleza, estas tablas contienen registros únicos.</w:t>
      </w:r>
    </w:p>
    <w:p w:rsidR="00000000" w:rsidDel="00000000" w:rsidP="00000000" w:rsidRDefault="00000000" w:rsidRPr="00000000" w14:paraId="000000D7">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Las relaciones principales del modelo de datos de Power BI son las siguientes: </w:t>
      </w:r>
    </w:p>
    <w:p w:rsidR="00000000" w:rsidDel="00000000" w:rsidP="00000000" w:rsidRDefault="00000000" w:rsidRPr="00000000" w14:paraId="000000D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24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Procesos con Entidades, en relación de muchos a uno (*:1).</w:t>
      </w:r>
    </w:p>
    <w:p w:rsidR="00000000" w:rsidDel="00000000" w:rsidP="00000000" w:rsidRDefault="00000000" w:rsidRPr="00000000" w14:paraId="000000D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Contratos con Entidades, en relación de muchos a uno (*:1).</w:t>
      </w:r>
    </w:p>
    <w:p w:rsidR="00000000" w:rsidDel="00000000" w:rsidP="00000000" w:rsidRDefault="00000000" w:rsidRPr="00000000" w14:paraId="000000D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Procesos con UNSPSC, en relación de muchos a uno (*:1).</w:t>
      </w:r>
    </w:p>
    <w:p w:rsidR="00000000" w:rsidDel="00000000" w:rsidP="00000000" w:rsidRDefault="00000000" w:rsidRPr="00000000" w14:paraId="000000D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Contratos con UNSPSC, en relación de muchos a uno (*:1).</w:t>
      </w:r>
    </w:p>
    <w:p w:rsidR="00000000" w:rsidDel="00000000" w:rsidP="00000000" w:rsidRDefault="00000000" w:rsidRPr="00000000" w14:paraId="000000D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Contratos con Multas y sanciones, en relación de uno a muchos (1:*).</w:t>
      </w:r>
    </w:p>
    <w:p w:rsidR="00000000" w:rsidDel="00000000" w:rsidP="00000000" w:rsidRDefault="00000000" w:rsidRPr="00000000" w14:paraId="000000D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Contratos con Adiciones, en relación de uno a muchos (1:*).</w:t>
      </w:r>
    </w:p>
    <w:p w:rsidR="00000000" w:rsidDel="00000000" w:rsidP="00000000" w:rsidRDefault="00000000" w:rsidRPr="00000000" w14:paraId="000000D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240" w:before="0" w:line="259"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Contratos con Modificaciones, en relación de uno a muchos (1:*). </w:t>
      </w:r>
    </w:p>
    <w:p w:rsidR="00000000" w:rsidDel="00000000" w:rsidP="00000000" w:rsidRDefault="00000000" w:rsidRPr="00000000" w14:paraId="000000DF">
      <w:pPr>
        <w:spacing w:after="240" w:before="240" w:lineRule="auto"/>
        <w:ind w:left="360" w:firstLine="0"/>
        <w:jc w:val="both"/>
        <w:rPr>
          <w:rFonts w:ascii="Arial" w:cs="Arial" w:eastAsia="Arial" w:hAnsi="Arial"/>
        </w:rPr>
      </w:pPr>
      <w:r w:rsidDel="00000000" w:rsidR="00000000" w:rsidRPr="00000000">
        <w:rPr>
          <w:rFonts w:ascii="Arial" w:cs="Arial" w:eastAsia="Arial" w:hAnsi="Arial"/>
          <w:rtl w:val="0"/>
        </w:rPr>
        <w:t xml:space="preserve">Adicionalmente, existen diferentes consultas auxiliares destinadas a generar las visualizaciones correspondientes a cada tablero.</w:t>
      </w:r>
      <w:r w:rsidDel="00000000" w:rsidR="00000000" w:rsidRPr="00000000">
        <w:drawing>
          <wp:anchor allowOverlap="1" behindDoc="0" distB="0" distT="0" distL="114300" distR="114300" hidden="0" layoutInCell="1" locked="0" relativeHeight="0" simplePos="0">
            <wp:simplePos x="0" y="0"/>
            <wp:positionH relativeFrom="column">
              <wp:posOffset>642938</wp:posOffset>
            </wp:positionH>
            <wp:positionV relativeFrom="paragraph">
              <wp:posOffset>451493</wp:posOffset>
            </wp:positionV>
            <wp:extent cx="4164013" cy="1962147"/>
            <wp:effectExtent b="0" l="0" r="0" t="0"/>
            <wp:wrapSquare wrapText="bothSides" distB="0" distT="0" distL="114300" distR="114300"/>
            <wp:docPr id="1379944065"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4164013" cy="1962147"/>
                    </a:xfrm>
                    <a:prstGeom prst="rect"/>
                    <a:ln/>
                  </pic:spPr>
                </pic:pic>
              </a:graphicData>
            </a:graphic>
          </wp:anchor>
        </w:drawing>
      </w:r>
    </w:p>
    <w:p w:rsidR="00000000" w:rsidDel="00000000" w:rsidP="00000000" w:rsidRDefault="00000000" w:rsidRPr="00000000" w14:paraId="000000E0">
      <w:pPr>
        <w:jc w:val="both"/>
        <w:rPr/>
      </w:pPr>
      <w:r w:rsidDel="00000000" w:rsidR="00000000" w:rsidRPr="00000000">
        <w:rPr>
          <w:rtl w:val="0"/>
        </w:rPr>
      </w:r>
    </w:p>
    <w:p w:rsidR="00000000" w:rsidDel="00000000" w:rsidP="00000000" w:rsidRDefault="00000000" w:rsidRPr="00000000" w14:paraId="000000E1">
      <w:pPr>
        <w:jc w:val="both"/>
        <w:rPr/>
      </w:pPr>
      <w:r w:rsidDel="00000000" w:rsidR="00000000" w:rsidRPr="00000000">
        <w:rPr>
          <w:rtl w:val="0"/>
        </w:rPr>
      </w:r>
    </w:p>
    <w:p w:rsidR="00000000" w:rsidDel="00000000" w:rsidP="00000000" w:rsidRDefault="00000000" w:rsidRPr="00000000" w14:paraId="000000E2">
      <w:pPr>
        <w:jc w:val="both"/>
        <w:rPr/>
      </w:pPr>
      <w:r w:rsidDel="00000000" w:rsidR="00000000" w:rsidRPr="00000000">
        <w:rPr>
          <w:rtl w:val="0"/>
        </w:rPr>
      </w:r>
    </w:p>
    <w:p w:rsidR="00000000" w:rsidDel="00000000" w:rsidP="00000000" w:rsidRDefault="00000000" w:rsidRPr="00000000" w14:paraId="000000E3">
      <w:pPr>
        <w:jc w:val="both"/>
        <w:rPr/>
      </w:pPr>
      <w:r w:rsidDel="00000000" w:rsidR="00000000" w:rsidRPr="00000000">
        <w:rPr>
          <w:rtl w:val="0"/>
        </w:rPr>
      </w:r>
    </w:p>
    <w:p w:rsidR="00000000" w:rsidDel="00000000" w:rsidP="00000000" w:rsidRDefault="00000000" w:rsidRPr="00000000" w14:paraId="000000E4">
      <w:pPr>
        <w:jc w:val="both"/>
        <w:rPr/>
      </w:pPr>
      <w:r w:rsidDel="00000000" w:rsidR="00000000" w:rsidRPr="00000000">
        <w:rPr>
          <w:rtl w:val="0"/>
        </w:rPr>
      </w:r>
    </w:p>
    <w:p w:rsidR="00000000" w:rsidDel="00000000" w:rsidP="00000000" w:rsidRDefault="00000000" w:rsidRPr="00000000" w14:paraId="000000E5">
      <w:pPr>
        <w:jc w:val="both"/>
        <w:rPr/>
      </w:pPr>
      <w:r w:rsidDel="00000000" w:rsidR="00000000" w:rsidRPr="00000000">
        <w:rPr>
          <w:rtl w:val="0"/>
        </w:rPr>
      </w:r>
    </w:p>
    <w:p w:rsidR="00000000" w:rsidDel="00000000" w:rsidP="00000000" w:rsidRDefault="00000000" w:rsidRPr="00000000" w14:paraId="000000E6">
      <w:pPr>
        <w:jc w:val="both"/>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952500</wp:posOffset>
            </wp:positionH>
            <wp:positionV relativeFrom="paragraph">
              <wp:posOffset>257058</wp:posOffset>
            </wp:positionV>
            <wp:extent cx="3531870" cy="1962150"/>
            <wp:effectExtent b="0" l="0" r="0" t="0"/>
            <wp:wrapSquare wrapText="bothSides" distB="0" distT="0" distL="114300" distR="114300"/>
            <wp:docPr id="1379944057"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3531870" cy="1962150"/>
                    </a:xfrm>
                    <a:prstGeom prst="rect"/>
                    <a:ln/>
                  </pic:spPr>
                </pic:pic>
              </a:graphicData>
            </a:graphic>
          </wp:anchor>
        </w:drawing>
      </w:r>
    </w:p>
    <w:p w:rsidR="00000000" w:rsidDel="00000000" w:rsidP="00000000" w:rsidRDefault="00000000" w:rsidRPr="00000000" w14:paraId="000000E7">
      <w:pPr>
        <w:jc w:val="both"/>
        <w:rPr/>
      </w:pPr>
      <w:r w:rsidDel="00000000" w:rsidR="00000000" w:rsidRPr="00000000">
        <w:rPr>
          <w:rtl w:val="0"/>
        </w:rPr>
      </w:r>
    </w:p>
    <w:p w:rsidR="00000000" w:rsidDel="00000000" w:rsidP="00000000" w:rsidRDefault="00000000" w:rsidRPr="00000000" w14:paraId="000000E8">
      <w:pPr>
        <w:jc w:val="both"/>
        <w:rPr/>
      </w:pPr>
      <w:r w:rsidDel="00000000" w:rsidR="00000000" w:rsidRPr="00000000">
        <w:rPr>
          <w:rtl w:val="0"/>
        </w:rPr>
      </w:r>
    </w:p>
    <w:p w:rsidR="00000000" w:rsidDel="00000000" w:rsidP="00000000" w:rsidRDefault="00000000" w:rsidRPr="00000000" w14:paraId="000000E9">
      <w:pPr>
        <w:jc w:val="both"/>
        <w:rPr/>
      </w:pPr>
      <w:r w:rsidDel="00000000" w:rsidR="00000000" w:rsidRPr="00000000">
        <w:rPr>
          <w:rtl w:val="0"/>
        </w:rPr>
      </w:r>
    </w:p>
    <w:p w:rsidR="00000000" w:rsidDel="00000000" w:rsidP="00000000" w:rsidRDefault="00000000" w:rsidRPr="00000000" w14:paraId="000000EA">
      <w:pPr>
        <w:jc w:val="both"/>
        <w:rPr/>
      </w:pPr>
      <w:r w:rsidDel="00000000" w:rsidR="00000000" w:rsidRPr="00000000">
        <w:rPr>
          <w:rtl w:val="0"/>
        </w:rPr>
      </w:r>
    </w:p>
    <w:p w:rsidR="00000000" w:rsidDel="00000000" w:rsidP="00000000" w:rsidRDefault="00000000" w:rsidRPr="00000000" w14:paraId="000000EB">
      <w:pPr>
        <w:jc w:val="both"/>
        <w:rPr/>
      </w:pPr>
      <w:r w:rsidDel="00000000" w:rsidR="00000000" w:rsidRPr="00000000">
        <w:rPr>
          <w:rtl w:val="0"/>
        </w:rPr>
      </w:r>
    </w:p>
    <w:p w:rsidR="00000000" w:rsidDel="00000000" w:rsidP="00000000" w:rsidRDefault="00000000" w:rsidRPr="00000000" w14:paraId="000000EC">
      <w:pPr>
        <w:jc w:val="both"/>
        <w:rPr/>
      </w:pPr>
      <w:r w:rsidDel="00000000" w:rsidR="00000000" w:rsidRPr="00000000">
        <w:rPr>
          <w:rtl w:val="0"/>
        </w:rPr>
      </w:r>
    </w:p>
    <w:p w:rsidR="00000000" w:rsidDel="00000000" w:rsidP="00000000" w:rsidRDefault="00000000" w:rsidRPr="00000000" w14:paraId="000000ED">
      <w:pPr>
        <w:jc w:val="both"/>
        <w:rPr/>
      </w:pPr>
      <w:r w:rsidDel="00000000" w:rsidR="00000000" w:rsidRPr="00000000">
        <w:rPr>
          <w:rtl w:val="0"/>
        </w:rPr>
      </w:r>
    </w:p>
    <w:p w:rsidR="00000000" w:rsidDel="00000000" w:rsidP="00000000" w:rsidRDefault="00000000" w:rsidRPr="00000000" w14:paraId="000000EE">
      <w:pPr>
        <w:jc w:val="both"/>
        <w:rPr/>
      </w:pPr>
      <w:r w:rsidDel="00000000" w:rsidR="00000000" w:rsidRPr="00000000">
        <w:rPr>
          <w:rtl w:val="0"/>
        </w:rPr>
      </w:r>
    </w:p>
    <w:p w:rsidR="00000000" w:rsidDel="00000000" w:rsidP="00000000" w:rsidRDefault="00000000" w:rsidRPr="00000000" w14:paraId="000000EF">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240" w:before="240" w:line="259" w:lineRule="auto"/>
        <w:ind w:left="720" w:right="0" w:hanging="72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Validación de datos</w:t>
      </w:r>
    </w:p>
    <w:p w:rsidR="00000000" w:rsidDel="00000000" w:rsidP="00000000" w:rsidRDefault="00000000" w:rsidRPr="00000000" w14:paraId="000000F0">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Como parte del proceso interno de auditoría, se efectúa el cargue de la información en un administrador de base de datos distinto, con el fin de realizar la validación de los datos reflejados en el tablero mediante la comparación de las cifras.</w:t>
      </w:r>
    </w:p>
    <w:p w:rsidR="00000000" w:rsidDel="00000000" w:rsidP="00000000" w:rsidRDefault="00000000" w:rsidRPr="00000000" w14:paraId="000000F1">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Adicionalmente, se llevan a cabo verificaciones aleatorias de consolidados elaborados de forma manual, como mecanismo complementario de control, lo que permite el aseguramiento de la calidad, consistencia y confiabilidad de la información presentada.</w:t>
      </w:r>
    </w:p>
    <w:p w:rsidR="00000000" w:rsidDel="00000000" w:rsidP="00000000" w:rsidRDefault="00000000" w:rsidRPr="00000000" w14:paraId="000000F2">
      <w:pPr>
        <w:spacing w:after="240" w:before="240"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7. Diccionario de datos</w:t>
      </w:r>
    </w:p>
    <w:p w:rsidR="00000000" w:rsidDel="00000000" w:rsidP="00000000" w:rsidRDefault="00000000" w:rsidRPr="00000000" w14:paraId="000000F3">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El diccionario de datos presenta la descripción de los campos utilizados para la construcción del tablero e identifica su denominación en Secop II, su significado y el tipo de dato correspondiente. </w:t>
      </w:r>
    </w:p>
    <w:p w:rsidR="00000000" w:rsidDel="00000000" w:rsidP="00000000" w:rsidRDefault="00000000" w:rsidRPr="00000000" w14:paraId="000000F4">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Esta herramienta facilita la interpretación de la información, permite reconocer las variables empleadas en los análisis y contribuye a la trazabilidad de los procesos de extracción, transformación y presentación de los datos. </w:t>
      </w:r>
      <w:r w:rsidDel="00000000" w:rsidR="00000000" w:rsidRPr="00000000">
        <w:rPr>
          <w:rtl w:val="0"/>
        </w:rPr>
      </w:r>
    </w:p>
    <w:sdt>
      <w:sdtPr>
        <w:lock w:val="contentLocked"/>
        <w:id w:val="-1747441836"/>
        <w:tag w:val="goog_rdk_0"/>
      </w:sdtPr>
      <w:sdtContent>
        <w:tbl>
          <w:tblPr>
            <w:tblStyle w:val="Table1"/>
            <w:tblpPr w:leftFromText="180" w:rightFromText="180" w:topFromText="180" w:bottomFromText="180" w:vertAnchor="text" w:horzAnchor="text" w:tblpX="-4.999999999999716" w:tblpY="0"/>
            <w:tblW w:w="88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2070"/>
            <w:gridCol w:w="2835"/>
            <w:gridCol w:w="975"/>
            <w:tblGridChange w:id="0">
              <w:tblGrid>
                <w:gridCol w:w="2940"/>
                <w:gridCol w:w="2070"/>
                <w:gridCol w:w="2835"/>
                <w:gridCol w:w="975"/>
              </w:tblGrid>
            </w:tblGridChange>
          </w:tblGrid>
          <w:tr>
            <w:trPr>
              <w:cantSplit w:val="0"/>
              <w:tblHeader w:val="0"/>
            </w:trPr>
            <w:tc>
              <w:tcPr/>
              <w:p w:rsidR="00000000" w:rsidDel="00000000" w:rsidP="00000000" w:rsidRDefault="00000000" w:rsidRPr="00000000" w14:paraId="000000F5">
                <w:pPr>
                  <w:widowControl w:val="0"/>
                  <w:spacing w:after="0" w:line="24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Nombre del campo API</w:t>
                </w:r>
              </w:p>
            </w:tc>
            <w:tc>
              <w:tcPr/>
              <w:p w:rsidR="00000000" w:rsidDel="00000000" w:rsidP="00000000" w:rsidRDefault="00000000" w:rsidRPr="00000000" w14:paraId="000000F6">
                <w:pPr>
                  <w:widowControl w:val="0"/>
                  <w:spacing w:after="0" w:line="24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Nombre de la columna WEB</w:t>
                </w:r>
              </w:p>
            </w:tc>
            <w:tc>
              <w:tcPr/>
              <w:p w:rsidR="00000000" w:rsidDel="00000000" w:rsidP="00000000" w:rsidRDefault="00000000" w:rsidRPr="00000000" w14:paraId="000000F7">
                <w:pPr>
                  <w:widowControl w:val="0"/>
                  <w:spacing w:after="0" w:line="24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Descripción</w:t>
                </w:r>
              </w:p>
            </w:tc>
            <w:tc>
              <w:tcPr/>
              <w:p w:rsidR="00000000" w:rsidDel="00000000" w:rsidP="00000000" w:rsidRDefault="00000000" w:rsidRPr="00000000" w14:paraId="000000F8">
                <w:pPr>
                  <w:widowControl w:val="0"/>
                  <w:spacing w:after="0" w:line="24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Tipo de dato</w:t>
                </w:r>
              </w:p>
            </w:tc>
          </w:tr>
          <w:tr>
            <w:trPr>
              <w:cantSplit w:val="0"/>
              <w:trHeight w:val="20.947265625" w:hRule="atLeast"/>
              <w:tblHeader w:val="0"/>
            </w:trPr>
            <w:tc>
              <w:tcPr/>
              <w:p w:rsidR="00000000" w:rsidDel="00000000" w:rsidP="00000000" w:rsidRDefault="00000000" w:rsidRPr="00000000" w14:paraId="000000F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entidad</w:t>
                </w:r>
              </w:p>
            </w:tc>
            <w:tc>
              <w:tcPr/>
              <w:p w:rsidR="00000000" w:rsidDel="00000000" w:rsidP="00000000" w:rsidRDefault="00000000" w:rsidRPr="00000000" w14:paraId="000000F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Entidad</w:t>
                </w:r>
              </w:p>
            </w:tc>
            <w:tc>
              <w:tcPr/>
              <w:p w:rsidR="00000000" w:rsidDel="00000000" w:rsidP="00000000" w:rsidRDefault="00000000" w:rsidRPr="00000000" w14:paraId="000000F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 la Entidad que publica el proceso de compra pública</w:t>
                </w:r>
              </w:p>
            </w:tc>
            <w:tc>
              <w:tcPr/>
              <w:p w:rsidR="00000000" w:rsidDel="00000000" w:rsidP="00000000" w:rsidRDefault="00000000" w:rsidRPr="00000000" w14:paraId="000000F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rHeight w:val="401.982421875" w:hRule="atLeast"/>
              <w:tblHeader w:val="0"/>
            </w:trPr>
            <w:tc>
              <w:tcPr/>
              <w:p w:rsidR="00000000" w:rsidDel="00000000" w:rsidP="00000000" w:rsidRDefault="00000000" w:rsidRPr="00000000" w14:paraId="000000F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nit_entidad</w:t>
                </w:r>
              </w:p>
            </w:tc>
            <w:tc>
              <w:tcPr/>
              <w:p w:rsidR="00000000" w:rsidDel="00000000" w:rsidP="00000000" w:rsidRDefault="00000000" w:rsidRPr="00000000" w14:paraId="000000F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 Entidad</w:t>
                </w:r>
              </w:p>
            </w:tc>
            <w:tc>
              <w:tcPr/>
              <w:p w:rsidR="00000000" w:rsidDel="00000000" w:rsidP="00000000" w:rsidRDefault="00000000" w:rsidRPr="00000000" w14:paraId="000000F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 de la Entidad que publicó el proceso</w:t>
                </w:r>
              </w:p>
            </w:tc>
            <w:tc>
              <w:tcPr/>
              <w:p w:rsidR="00000000" w:rsidDel="00000000" w:rsidP="00000000" w:rsidRDefault="00000000" w:rsidRPr="00000000" w14:paraId="00000100">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0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departamento_entidad</w:t>
                </w:r>
              </w:p>
            </w:tc>
            <w:tc>
              <w:tcPr/>
              <w:p w:rsidR="00000000" w:rsidDel="00000000" w:rsidP="00000000" w:rsidRDefault="00000000" w:rsidRPr="00000000" w14:paraId="0000010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 Entidad</w:t>
                </w:r>
              </w:p>
            </w:tc>
            <w:tc>
              <w:tcPr/>
              <w:p w:rsidR="00000000" w:rsidDel="00000000" w:rsidP="00000000" w:rsidRDefault="00000000" w:rsidRPr="00000000" w14:paraId="0000010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 en el cual está registrada la entidad</w:t>
                </w:r>
              </w:p>
            </w:tc>
            <w:tc>
              <w:tcPr/>
              <w:p w:rsidR="00000000" w:rsidDel="00000000" w:rsidP="00000000" w:rsidRDefault="00000000" w:rsidRPr="00000000" w14:paraId="00000104">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0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ciudad_entidad</w:t>
                </w:r>
              </w:p>
            </w:tc>
            <w:tc>
              <w:tcPr/>
              <w:p w:rsidR="00000000" w:rsidDel="00000000" w:rsidP="00000000" w:rsidRDefault="00000000" w:rsidRPr="00000000" w14:paraId="0000010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 Entidad</w:t>
                </w:r>
              </w:p>
            </w:tc>
            <w:tc>
              <w:tcPr/>
              <w:p w:rsidR="00000000" w:rsidDel="00000000" w:rsidP="00000000" w:rsidRDefault="00000000" w:rsidRPr="00000000" w14:paraId="0000010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 en la cual está registrada la entidad</w:t>
                </w:r>
              </w:p>
            </w:tc>
            <w:tc>
              <w:tcPr/>
              <w:p w:rsidR="00000000" w:rsidDel="00000000" w:rsidP="00000000" w:rsidRDefault="00000000" w:rsidRPr="00000000" w14:paraId="00000108">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0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ordenentidad</w:t>
                </w:r>
              </w:p>
            </w:tc>
            <w:tc>
              <w:tcPr/>
              <w:p w:rsidR="00000000" w:rsidDel="00000000" w:rsidP="00000000" w:rsidRDefault="00000000" w:rsidRPr="00000000" w14:paraId="0000010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OrdenEntidad</w:t>
                </w:r>
              </w:p>
            </w:tc>
            <w:tc>
              <w:tcPr/>
              <w:p w:rsidR="00000000" w:rsidDel="00000000" w:rsidP="00000000" w:rsidRDefault="00000000" w:rsidRPr="00000000" w14:paraId="0000010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Orden de la Entidad (Nacional, Regional)</w:t>
                </w:r>
              </w:p>
            </w:tc>
            <w:tc>
              <w:tcPr/>
              <w:p w:rsidR="00000000" w:rsidDel="00000000" w:rsidP="00000000" w:rsidRDefault="00000000" w:rsidRPr="00000000" w14:paraId="0000010C">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0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codigo_pci</w:t>
                </w:r>
              </w:p>
            </w:tc>
            <w:tc>
              <w:tcPr/>
              <w:p w:rsidR="00000000" w:rsidDel="00000000" w:rsidP="00000000" w:rsidRDefault="00000000" w:rsidRPr="00000000" w14:paraId="0000010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Entidad Centralizada</w:t>
                </w:r>
              </w:p>
            </w:tc>
            <w:tc>
              <w:tcPr/>
              <w:p w:rsidR="00000000" w:rsidDel="00000000" w:rsidP="00000000" w:rsidRDefault="00000000" w:rsidRPr="00000000" w14:paraId="0000010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 si la entidad es o no centralizada</w:t>
                </w:r>
              </w:p>
            </w:tc>
            <w:tc>
              <w:tcPr/>
              <w:p w:rsidR="00000000" w:rsidDel="00000000" w:rsidP="00000000" w:rsidRDefault="00000000" w:rsidRPr="00000000" w14:paraId="00000110">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1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id_del_proceso</w:t>
                </w:r>
              </w:p>
            </w:tc>
            <w:tc>
              <w:tcPr/>
              <w:p w:rsidR="00000000" w:rsidDel="00000000" w:rsidP="00000000" w:rsidRDefault="00000000" w:rsidRPr="00000000" w14:paraId="0000011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 del Proceso</w:t>
                </w:r>
              </w:p>
            </w:tc>
            <w:tc>
              <w:tcPr/>
              <w:p w:rsidR="00000000" w:rsidDel="00000000" w:rsidP="00000000" w:rsidRDefault="00000000" w:rsidRPr="00000000" w14:paraId="0000011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Único del Proceso, valor generado por la plataforma</w:t>
                </w:r>
              </w:p>
            </w:tc>
            <w:tc>
              <w:tcPr/>
              <w:p w:rsidR="00000000" w:rsidDel="00000000" w:rsidP="00000000" w:rsidRDefault="00000000" w:rsidRPr="00000000" w14:paraId="00000114">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1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referencia_del_proceso</w:t>
                </w:r>
              </w:p>
            </w:tc>
            <w:tc>
              <w:tcPr/>
              <w:p w:rsidR="00000000" w:rsidDel="00000000" w:rsidP="00000000" w:rsidRDefault="00000000" w:rsidRPr="00000000" w14:paraId="0000011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Referencia del Proceso</w:t>
                </w:r>
              </w:p>
            </w:tc>
            <w:tc>
              <w:tcPr/>
              <w:p w:rsidR="00000000" w:rsidDel="00000000" w:rsidP="00000000" w:rsidRDefault="00000000" w:rsidRPr="00000000" w14:paraId="0000011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del Proceso, valor generado por la Entidad</w:t>
                </w:r>
              </w:p>
            </w:tc>
            <w:tc>
              <w:tcPr/>
              <w:p w:rsidR="00000000" w:rsidDel="00000000" w:rsidP="00000000" w:rsidRDefault="00000000" w:rsidRPr="00000000" w14:paraId="00000118">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1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ppi</w:t>
                </w:r>
              </w:p>
            </w:tc>
            <w:tc>
              <w:tcPr/>
              <w:p w:rsidR="00000000" w:rsidDel="00000000" w:rsidP="00000000" w:rsidRDefault="00000000" w:rsidRPr="00000000" w14:paraId="0000011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PCI</w:t>
                </w:r>
              </w:p>
            </w:tc>
            <w:tc>
              <w:tcPr/>
              <w:p w:rsidR="00000000" w:rsidDel="00000000" w:rsidP="00000000" w:rsidRDefault="00000000" w:rsidRPr="00000000" w14:paraId="0000011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 de Unidad - Sub Unidad Contratación</w:t>
                </w:r>
              </w:p>
            </w:tc>
            <w:tc>
              <w:tcPr/>
              <w:p w:rsidR="00000000" w:rsidDel="00000000" w:rsidP="00000000" w:rsidRDefault="00000000" w:rsidRPr="00000000" w14:paraId="0000011C">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1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id_del_portafolio</w:t>
                </w:r>
              </w:p>
            </w:tc>
            <w:tc>
              <w:tcPr/>
              <w:p w:rsidR="00000000" w:rsidDel="00000000" w:rsidP="00000000" w:rsidRDefault="00000000" w:rsidRPr="00000000" w14:paraId="0000011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 del Portafolio</w:t>
                </w:r>
              </w:p>
            </w:tc>
            <w:tc>
              <w:tcPr/>
              <w:p w:rsidR="00000000" w:rsidDel="00000000" w:rsidP="00000000" w:rsidRDefault="00000000" w:rsidRPr="00000000" w14:paraId="0000011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del Portafolio al cual corresponde el proceso de compra</w:t>
                </w:r>
              </w:p>
            </w:tc>
            <w:tc>
              <w:tcPr/>
              <w:p w:rsidR="00000000" w:rsidDel="00000000" w:rsidP="00000000" w:rsidRDefault="00000000" w:rsidRPr="00000000" w14:paraId="00000120">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2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nombre_del_procedimiento</w:t>
                </w:r>
              </w:p>
            </w:tc>
            <w:tc>
              <w:tcPr/>
              <w:p w:rsidR="00000000" w:rsidDel="00000000" w:rsidP="00000000" w:rsidRDefault="00000000" w:rsidRPr="00000000" w14:paraId="0000012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del Procedimiento</w:t>
                </w:r>
              </w:p>
            </w:tc>
            <w:tc>
              <w:tcPr/>
              <w:p w:rsidR="00000000" w:rsidDel="00000000" w:rsidP="00000000" w:rsidRDefault="00000000" w:rsidRPr="00000000" w14:paraId="0000012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dado al proceso de compra por la Entidad</w:t>
                </w:r>
              </w:p>
            </w:tc>
            <w:tc>
              <w:tcPr/>
              <w:p w:rsidR="00000000" w:rsidDel="00000000" w:rsidP="00000000" w:rsidRDefault="00000000" w:rsidRPr="00000000" w14:paraId="00000124">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2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descripci_n_del_procedimiento</w:t>
                </w:r>
              </w:p>
            </w:tc>
            <w:tc>
              <w:tcPr/>
              <w:p w:rsidR="00000000" w:rsidDel="00000000" w:rsidP="00000000" w:rsidRDefault="00000000" w:rsidRPr="00000000" w14:paraId="0000012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Descripción del Procedimiento</w:t>
                </w:r>
              </w:p>
            </w:tc>
            <w:tc>
              <w:tcPr/>
              <w:p w:rsidR="00000000" w:rsidDel="00000000" w:rsidP="00000000" w:rsidRDefault="00000000" w:rsidRPr="00000000" w14:paraId="0000012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Primera definición de las características principales del proceso</w:t>
                </w:r>
              </w:p>
            </w:tc>
            <w:tc>
              <w:tcPr/>
              <w:p w:rsidR="00000000" w:rsidDel="00000000" w:rsidP="00000000" w:rsidRDefault="00000000" w:rsidRPr="00000000" w14:paraId="00000128">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2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fase</w:t>
                </w:r>
              </w:p>
            </w:tc>
            <w:tc>
              <w:tcPr/>
              <w:p w:rsidR="00000000" w:rsidDel="00000000" w:rsidP="00000000" w:rsidRDefault="00000000" w:rsidRPr="00000000" w14:paraId="0000012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Fase</w:t>
                </w:r>
              </w:p>
            </w:tc>
            <w:tc>
              <w:tcPr/>
              <w:p w:rsidR="00000000" w:rsidDel="00000000" w:rsidP="00000000" w:rsidRDefault="00000000" w:rsidRPr="00000000" w14:paraId="0000012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Fase en la que actualmente se encuentra el proceso</w:t>
                </w:r>
              </w:p>
            </w:tc>
            <w:tc>
              <w:tcPr/>
              <w:p w:rsidR="00000000" w:rsidDel="00000000" w:rsidP="00000000" w:rsidRDefault="00000000" w:rsidRPr="00000000" w14:paraId="0000012C">
                <w:pPr>
                  <w:widowControl w:val="0"/>
                  <w:spacing w:after="0" w:line="240" w:lineRule="auto"/>
                  <w:jc w:val="center"/>
                  <w:rPr>
                    <w:rFonts w:ascii="Arial" w:cs="Arial" w:eastAsia="Arial" w:hAnsi="Arial"/>
                    <w:b w:val="1"/>
                    <w:bCs w:val="1"/>
                    <w:sz w:val="18"/>
                    <w:szCs w:val="18"/>
                  </w:rPr>
                </w:pPr>
                <w:r w:rsidDel="00000000" w:rsidR="00000000" w:rsidRPr="00000000">
                  <w:rPr>
                    <w:rFonts w:ascii="Arial" w:cs="Arial" w:eastAsia="Arial" w:hAnsi="Arial"/>
                    <w:sz w:val="18"/>
                    <w:szCs w:val="18"/>
                    <w:rtl w:val="0"/>
                  </w:rPr>
                  <w:t xml:space="preserve">Texto</w:t>
                </w:r>
                <w:r w:rsidDel="00000000" w:rsidR="00000000" w:rsidRPr="00000000">
                  <w:rPr>
                    <w:rtl w:val="0"/>
                  </w:rPr>
                </w:r>
              </w:p>
            </w:tc>
          </w:tr>
          <w:tr>
            <w:trPr>
              <w:cantSplit w:val="0"/>
              <w:tblHeader w:val="0"/>
            </w:trPr>
            <w:tc>
              <w:tcPr/>
              <w:p w:rsidR="00000000" w:rsidDel="00000000" w:rsidP="00000000" w:rsidRDefault="00000000" w:rsidRPr="00000000" w14:paraId="0000012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fecha_de_publicacion_del</w:t>
                </w:r>
              </w:p>
            </w:tc>
            <w:tc>
              <w:tcPr/>
              <w:p w:rsidR="00000000" w:rsidDel="00000000" w:rsidP="00000000" w:rsidRDefault="00000000" w:rsidRPr="00000000" w14:paraId="0000012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del Proceso</w:t>
                </w:r>
              </w:p>
            </w:tc>
            <w:tc>
              <w:tcPr/>
              <w:p w:rsidR="00000000" w:rsidDel="00000000" w:rsidP="00000000" w:rsidRDefault="00000000" w:rsidRPr="00000000" w14:paraId="0000012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la publicación inicial del proceso de compra</w:t>
                </w:r>
              </w:p>
            </w:tc>
            <w:tc>
              <w:tcPr/>
              <w:p w:rsidR="00000000" w:rsidDel="00000000" w:rsidP="00000000" w:rsidRDefault="00000000" w:rsidRPr="00000000" w14:paraId="0000013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3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fecha_de_ultima_publicaci</w:t>
                </w:r>
              </w:p>
            </w:tc>
            <w:tc>
              <w:tcPr/>
              <w:p w:rsidR="00000000" w:rsidDel="00000000" w:rsidP="00000000" w:rsidRDefault="00000000" w:rsidRPr="00000000" w14:paraId="0000013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Ultima Publicación</w:t>
                </w:r>
              </w:p>
            </w:tc>
            <w:tc>
              <w:tcPr/>
              <w:p w:rsidR="00000000" w:rsidDel="00000000" w:rsidP="00000000" w:rsidRDefault="00000000" w:rsidRPr="00000000" w14:paraId="0000013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la última publicación hecha para el proceso de compra</w:t>
                </w:r>
              </w:p>
            </w:tc>
            <w:tc>
              <w:tcPr/>
              <w:p w:rsidR="00000000" w:rsidDel="00000000" w:rsidP="00000000" w:rsidRDefault="00000000" w:rsidRPr="00000000" w14:paraId="0000013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3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fecha_de_publicacion_fase</w:t>
                </w:r>
              </w:p>
            </w:tc>
            <w:tc>
              <w:tcPr/>
              <w:p w:rsidR="00000000" w:rsidDel="00000000" w:rsidP="00000000" w:rsidRDefault="00000000" w:rsidRPr="00000000" w14:paraId="0000013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(Fase Planeacion Precalificacion)</w:t>
                </w:r>
              </w:p>
            </w:tc>
            <w:tc>
              <w:tcPr/>
              <w:p w:rsidR="00000000" w:rsidDel="00000000" w:rsidP="00000000" w:rsidRDefault="00000000" w:rsidRPr="00000000" w14:paraId="0000013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publicación, dentro del proceso, de la fase de Planeación en Precalificación</w:t>
                </w:r>
              </w:p>
            </w:tc>
            <w:tc>
              <w:tcPr/>
              <w:p w:rsidR="00000000" w:rsidDel="00000000" w:rsidP="00000000" w:rsidRDefault="00000000" w:rsidRPr="00000000" w14:paraId="0000013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3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fecha_de_publicacion_fase_1</w:t>
                </w:r>
              </w:p>
            </w:tc>
            <w:tc>
              <w:tcPr/>
              <w:p w:rsidR="00000000" w:rsidDel="00000000" w:rsidP="00000000" w:rsidRDefault="00000000" w:rsidRPr="00000000" w14:paraId="0000013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(Fase Seleccion Precalificacion)</w:t>
                </w:r>
              </w:p>
            </w:tc>
            <w:tc>
              <w:tcPr/>
              <w:p w:rsidR="00000000" w:rsidDel="00000000" w:rsidP="00000000" w:rsidRDefault="00000000" w:rsidRPr="00000000" w14:paraId="0000013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publicación, dentro del proceso, de la fase de Selección en Precalificación</w:t>
                </w:r>
              </w:p>
            </w:tc>
            <w:tc>
              <w:tcPr/>
              <w:p w:rsidR="00000000" w:rsidDel="00000000" w:rsidP="00000000" w:rsidRDefault="00000000" w:rsidRPr="00000000" w14:paraId="0000013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3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w:t>
                </w:r>
              </w:p>
            </w:tc>
            <w:tc>
              <w:tcPr/>
              <w:p w:rsidR="00000000" w:rsidDel="00000000" w:rsidP="00000000" w:rsidRDefault="00000000" w:rsidRPr="00000000" w14:paraId="0000013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(Manifestacion de Interes)</w:t>
                </w:r>
              </w:p>
            </w:tc>
            <w:tc>
              <w:tcPr/>
              <w:p w:rsidR="00000000" w:rsidDel="00000000" w:rsidP="00000000" w:rsidRDefault="00000000" w:rsidRPr="00000000" w14:paraId="0000013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publicación, dentro del proceso, de la fase de Manifestación de Interés</w:t>
                </w:r>
              </w:p>
            </w:tc>
            <w:tc>
              <w:tcPr/>
              <w:p w:rsidR="00000000" w:rsidDel="00000000" w:rsidP="00000000" w:rsidRDefault="00000000" w:rsidRPr="00000000" w14:paraId="0000014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4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fecha_de_publicacion_fase_2</w:t>
                </w:r>
              </w:p>
            </w:tc>
            <w:tc>
              <w:tcPr/>
              <w:p w:rsidR="00000000" w:rsidDel="00000000" w:rsidP="00000000" w:rsidRDefault="00000000" w:rsidRPr="00000000" w14:paraId="0000014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(Fase Borrador)</w:t>
                </w:r>
              </w:p>
            </w:tc>
            <w:tc>
              <w:tcPr/>
              <w:p w:rsidR="00000000" w:rsidDel="00000000" w:rsidP="00000000" w:rsidRDefault="00000000" w:rsidRPr="00000000" w14:paraId="0000014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publicación, dentro del proceso, de la fase Borrador</w:t>
                </w:r>
              </w:p>
            </w:tc>
            <w:tc>
              <w:tcPr/>
              <w:p w:rsidR="00000000" w:rsidDel="00000000" w:rsidP="00000000" w:rsidRDefault="00000000" w:rsidRPr="00000000" w14:paraId="0000014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4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fecha_de_publicacion_fase_3</w:t>
                </w:r>
              </w:p>
            </w:tc>
            <w:tc>
              <w:tcPr/>
              <w:p w:rsidR="00000000" w:rsidDel="00000000" w:rsidP="00000000" w:rsidRDefault="00000000" w:rsidRPr="00000000" w14:paraId="0000014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Publicacion (Fase Seleccion)</w:t>
                </w:r>
              </w:p>
            </w:tc>
            <w:tc>
              <w:tcPr/>
              <w:p w:rsidR="00000000" w:rsidDel="00000000" w:rsidP="00000000" w:rsidRDefault="00000000" w:rsidRPr="00000000" w14:paraId="0000014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publicación, dentro del proceso, de la fase Selección</w:t>
                </w:r>
              </w:p>
            </w:tc>
            <w:tc>
              <w:tcPr/>
              <w:p w:rsidR="00000000" w:rsidDel="00000000" w:rsidP="00000000" w:rsidRDefault="00000000" w:rsidRPr="00000000" w14:paraId="0000014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4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precio_base</w:t>
                </w:r>
              </w:p>
            </w:tc>
            <w:tc>
              <w:tcPr/>
              <w:p w:rsidR="00000000" w:rsidDel="00000000" w:rsidP="00000000" w:rsidRDefault="00000000" w:rsidRPr="00000000" w14:paraId="0000014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Precio Base</w:t>
                </w:r>
              </w:p>
            </w:tc>
            <w:tc>
              <w:tcPr/>
              <w:p w:rsidR="00000000" w:rsidDel="00000000" w:rsidP="00000000" w:rsidRDefault="00000000" w:rsidRPr="00000000" w14:paraId="0000014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Precio Base, proyectado, del proceso de Compra</w:t>
                </w:r>
              </w:p>
            </w:tc>
            <w:tc>
              <w:tcPr/>
              <w:p w:rsidR="00000000" w:rsidDel="00000000" w:rsidP="00000000" w:rsidRDefault="00000000" w:rsidRPr="00000000" w14:paraId="0000014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4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modalidad_de_contratacion</w:t>
                </w:r>
              </w:p>
            </w:tc>
            <w:tc>
              <w:tcPr/>
              <w:p w:rsidR="00000000" w:rsidDel="00000000" w:rsidP="00000000" w:rsidRDefault="00000000" w:rsidRPr="00000000" w14:paraId="0000014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Modalidad de Contratacion</w:t>
                </w:r>
              </w:p>
            </w:tc>
            <w:tc>
              <w:tcPr/>
              <w:p w:rsidR="00000000" w:rsidDel="00000000" w:rsidP="00000000" w:rsidRDefault="00000000" w:rsidRPr="00000000" w14:paraId="0000014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Modalidad de selección bajo la cual se desarrolla el proceso de Compra</w:t>
                </w:r>
              </w:p>
            </w:tc>
            <w:tc>
              <w:tcPr/>
              <w:p w:rsidR="00000000" w:rsidDel="00000000" w:rsidP="00000000" w:rsidRDefault="00000000" w:rsidRPr="00000000" w14:paraId="0000015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5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justificaci_n_modalidad_de</w:t>
                </w:r>
              </w:p>
            </w:tc>
            <w:tc>
              <w:tcPr/>
              <w:p w:rsidR="00000000" w:rsidDel="00000000" w:rsidP="00000000" w:rsidRDefault="00000000" w:rsidRPr="00000000" w14:paraId="0000015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Justificación Modalidad de Contratación</w:t>
                </w:r>
              </w:p>
            </w:tc>
            <w:tc>
              <w:tcPr/>
              <w:p w:rsidR="00000000" w:rsidDel="00000000" w:rsidP="00000000" w:rsidRDefault="00000000" w:rsidRPr="00000000" w14:paraId="0000015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En caso de requerirse, Justificación para la modalidad de selección elegida para el proceso de compra</w:t>
                </w:r>
              </w:p>
            </w:tc>
            <w:tc>
              <w:tcPr/>
              <w:p w:rsidR="00000000" w:rsidDel="00000000" w:rsidP="00000000" w:rsidRDefault="00000000" w:rsidRPr="00000000" w14:paraId="0000015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5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duracion</w:t>
                </w:r>
              </w:p>
            </w:tc>
            <w:tc>
              <w:tcPr/>
              <w:p w:rsidR="00000000" w:rsidDel="00000000" w:rsidP="00000000" w:rsidRDefault="00000000" w:rsidRPr="00000000" w14:paraId="0000015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Duracion</w:t>
                </w:r>
              </w:p>
            </w:tc>
            <w:tc>
              <w:tcPr/>
              <w:p w:rsidR="00000000" w:rsidDel="00000000" w:rsidP="00000000" w:rsidRDefault="00000000" w:rsidRPr="00000000" w14:paraId="0000015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Valor de la Duración estimada del proceso de compra pública</w:t>
                </w:r>
              </w:p>
            </w:tc>
            <w:tc>
              <w:tcPr/>
              <w:p w:rsidR="00000000" w:rsidDel="00000000" w:rsidP="00000000" w:rsidRDefault="00000000" w:rsidRPr="00000000" w14:paraId="0000015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5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unidad_de_duracion</w:t>
                </w:r>
              </w:p>
            </w:tc>
            <w:tc>
              <w:tcPr/>
              <w:p w:rsidR="00000000" w:rsidDel="00000000" w:rsidP="00000000" w:rsidRDefault="00000000" w:rsidRPr="00000000" w14:paraId="0000015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Unidad de Duracion</w:t>
                </w:r>
              </w:p>
            </w:tc>
            <w:tc>
              <w:tcPr/>
              <w:p w:rsidR="00000000" w:rsidDel="00000000" w:rsidP="00000000" w:rsidRDefault="00000000" w:rsidRPr="00000000" w14:paraId="0000015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Unidad que aplica a la Duración estimada del proceso de compra pública</w:t>
                </w:r>
              </w:p>
            </w:tc>
            <w:tc>
              <w:tcPr/>
              <w:p w:rsidR="00000000" w:rsidDel="00000000" w:rsidP="00000000" w:rsidRDefault="00000000" w:rsidRPr="00000000" w14:paraId="0000015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5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fecha_de_recepcion_de</w:t>
                </w:r>
              </w:p>
            </w:tc>
            <w:tc>
              <w:tcPr/>
              <w:p w:rsidR="00000000" w:rsidDel="00000000" w:rsidP="00000000" w:rsidRDefault="00000000" w:rsidRPr="00000000" w14:paraId="0000015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Recepcion de Respuestas</w:t>
                </w:r>
              </w:p>
            </w:tc>
            <w:tc>
              <w:tcPr/>
              <w:p w:rsidR="00000000" w:rsidDel="00000000" w:rsidP="00000000" w:rsidRDefault="00000000" w:rsidRPr="00000000" w14:paraId="0000015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asignada para la recepción de respuestas por parte de los proveedores, dentro del proceso de compra</w:t>
                </w:r>
              </w:p>
            </w:tc>
            <w:tc>
              <w:tcPr/>
              <w:p w:rsidR="00000000" w:rsidDel="00000000" w:rsidP="00000000" w:rsidRDefault="00000000" w:rsidRPr="00000000" w14:paraId="0000016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6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fecha_de_apertura_de_respuesta</w:t>
                </w:r>
              </w:p>
            </w:tc>
            <w:tc>
              <w:tcPr/>
              <w:p w:rsidR="00000000" w:rsidDel="00000000" w:rsidP="00000000" w:rsidRDefault="00000000" w:rsidRPr="00000000" w14:paraId="0000016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Apertura de Respuesta</w:t>
                </w:r>
              </w:p>
            </w:tc>
            <w:tc>
              <w:tcPr/>
              <w:p w:rsidR="00000000" w:rsidDel="00000000" w:rsidP="00000000" w:rsidRDefault="00000000" w:rsidRPr="00000000" w14:paraId="0000016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Estimada para la Apertura de las respuestas</w:t>
                </w:r>
              </w:p>
            </w:tc>
            <w:tc>
              <w:tcPr/>
              <w:p w:rsidR="00000000" w:rsidDel="00000000" w:rsidP="00000000" w:rsidRDefault="00000000" w:rsidRPr="00000000" w14:paraId="0000016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6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fecha_de_apertura_efectiva</w:t>
                </w:r>
              </w:p>
            </w:tc>
            <w:tc>
              <w:tcPr/>
              <w:p w:rsidR="00000000" w:rsidDel="00000000" w:rsidP="00000000" w:rsidRDefault="00000000" w:rsidRPr="00000000" w14:paraId="0000016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de Apertura Efectiva</w:t>
                </w:r>
              </w:p>
            </w:tc>
            <w:tc>
              <w:tcPr/>
              <w:p w:rsidR="00000000" w:rsidDel="00000000" w:rsidP="00000000" w:rsidRDefault="00000000" w:rsidRPr="00000000" w14:paraId="0000016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Real para la Apertura de las respuestas</w:t>
                </w:r>
              </w:p>
            </w:tc>
            <w:tc>
              <w:tcPr/>
              <w:p w:rsidR="00000000" w:rsidDel="00000000" w:rsidP="00000000" w:rsidRDefault="00000000" w:rsidRPr="00000000" w14:paraId="0000016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6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ciudad_de_la_unidad_de</w:t>
                </w:r>
              </w:p>
            </w:tc>
            <w:tc>
              <w:tcPr/>
              <w:p w:rsidR="00000000" w:rsidDel="00000000" w:rsidP="00000000" w:rsidRDefault="00000000" w:rsidRPr="00000000" w14:paraId="0000016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 de la Unidad de Contratación</w:t>
                </w:r>
              </w:p>
            </w:tc>
            <w:tc>
              <w:tcPr/>
              <w:p w:rsidR="00000000" w:rsidDel="00000000" w:rsidP="00000000" w:rsidRDefault="00000000" w:rsidRPr="00000000" w14:paraId="0000016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Cuidad en la que aparece registrada la unidad de contratación de la Entidad</w:t>
                </w:r>
              </w:p>
            </w:tc>
            <w:tc>
              <w:tcPr/>
              <w:p w:rsidR="00000000" w:rsidDel="00000000" w:rsidP="00000000" w:rsidRDefault="00000000" w:rsidRPr="00000000" w14:paraId="0000016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6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nombre_de_la_unidad_de</w:t>
                </w:r>
              </w:p>
            </w:tc>
            <w:tc>
              <w:tcPr/>
              <w:p w:rsidR="00000000" w:rsidDel="00000000" w:rsidP="00000000" w:rsidRDefault="00000000" w:rsidRPr="00000000" w14:paraId="0000016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 la Unidad de Contratación</w:t>
                </w:r>
              </w:p>
            </w:tc>
            <w:tc>
              <w:tcPr/>
              <w:p w:rsidR="00000000" w:rsidDel="00000000" w:rsidP="00000000" w:rsidRDefault="00000000" w:rsidRPr="00000000" w14:paraId="0000016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 la unidad de contratación de la Entidad</w:t>
                </w:r>
              </w:p>
            </w:tc>
            <w:tc>
              <w:tcPr/>
              <w:p w:rsidR="00000000" w:rsidDel="00000000" w:rsidP="00000000" w:rsidRDefault="00000000" w:rsidRPr="00000000" w14:paraId="0000017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7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proveedores_invitados</w:t>
                </w:r>
              </w:p>
            </w:tc>
            <w:tc>
              <w:tcPr/>
              <w:p w:rsidR="00000000" w:rsidDel="00000000" w:rsidP="00000000" w:rsidRDefault="00000000" w:rsidRPr="00000000" w14:paraId="0000017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Invitados</w:t>
                </w:r>
              </w:p>
            </w:tc>
            <w:tc>
              <w:tcPr/>
              <w:p w:rsidR="00000000" w:rsidDel="00000000" w:rsidP="00000000" w:rsidRDefault="00000000" w:rsidRPr="00000000" w14:paraId="0000017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 de Proveedores invitados a participar del proceso, en total</w:t>
                </w:r>
              </w:p>
            </w:tc>
            <w:tc>
              <w:tcPr/>
              <w:p w:rsidR="00000000" w:rsidDel="00000000" w:rsidP="00000000" w:rsidRDefault="00000000" w:rsidRPr="00000000" w14:paraId="0000017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7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proveedores_con_invitacion</w:t>
                </w:r>
              </w:p>
            </w:tc>
            <w:tc>
              <w:tcPr/>
              <w:p w:rsidR="00000000" w:rsidDel="00000000" w:rsidP="00000000" w:rsidRDefault="00000000" w:rsidRPr="00000000" w14:paraId="0000017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con Invitacion Directa</w:t>
                </w:r>
              </w:p>
            </w:tc>
            <w:tc>
              <w:tcPr/>
              <w:p w:rsidR="00000000" w:rsidDel="00000000" w:rsidP="00000000" w:rsidRDefault="00000000" w:rsidRPr="00000000" w14:paraId="0000017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con Invitación a participar hecha de forma directa</w:t>
                </w:r>
              </w:p>
            </w:tc>
            <w:tc>
              <w:tcPr/>
              <w:p w:rsidR="00000000" w:rsidDel="00000000" w:rsidP="00000000" w:rsidRDefault="00000000" w:rsidRPr="00000000" w14:paraId="0000017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7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visualizaciones_del</w:t>
                </w:r>
              </w:p>
            </w:tc>
            <w:tc>
              <w:tcPr/>
              <w:p w:rsidR="00000000" w:rsidDel="00000000" w:rsidP="00000000" w:rsidRDefault="00000000" w:rsidRPr="00000000" w14:paraId="0000017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Visualizaciones del Procedimiento</w:t>
                </w:r>
              </w:p>
            </w:tc>
            <w:tc>
              <w:tcPr/>
              <w:p w:rsidR="00000000" w:rsidDel="00000000" w:rsidP="00000000" w:rsidRDefault="00000000" w:rsidRPr="00000000" w14:paraId="0000017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 de Visualizaciones hechas a través de la herramienta, del Proceso de Compra</w:t>
                </w:r>
              </w:p>
            </w:tc>
            <w:tc>
              <w:tcPr/>
              <w:p w:rsidR="00000000" w:rsidDel="00000000" w:rsidP="00000000" w:rsidRDefault="00000000" w:rsidRPr="00000000" w14:paraId="0000017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7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proveedores_que_manifestaron</w:t>
                </w:r>
              </w:p>
            </w:tc>
            <w:tc>
              <w:tcPr/>
              <w:p w:rsidR="00000000" w:rsidDel="00000000" w:rsidP="00000000" w:rsidRDefault="00000000" w:rsidRPr="00000000" w14:paraId="0000017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que Manifestaron Interes</w:t>
                </w:r>
              </w:p>
            </w:tc>
            <w:tc>
              <w:tcPr/>
              <w:p w:rsidR="00000000" w:rsidDel="00000000" w:rsidP="00000000" w:rsidRDefault="00000000" w:rsidRPr="00000000" w14:paraId="0000017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que Manifestaron Interés en el proceso a través de la plataforma</w:t>
                </w:r>
              </w:p>
            </w:tc>
            <w:tc>
              <w:tcPr/>
              <w:p w:rsidR="00000000" w:rsidDel="00000000" w:rsidP="00000000" w:rsidRDefault="00000000" w:rsidRPr="00000000" w14:paraId="0000018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8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respuestas_al_procedimiento</w:t>
                </w:r>
              </w:p>
            </w:tc>
            <w:tc>
              <w:tcPr/>
              <w:p w:rsidR="00000000" w:rsidDel="00000000" w:rsidP="00000000" w:rsidRDefault="00000000" w:rsidRPr="00000000" w14:paraId="0000018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Respuestas al Procedimiento</w:t>
                </w:r>
              </w:p>
            </w:tc>
            <w:tc>
              <w:tcPr/>
              <w:p w:rsidR="00000000" w:rsidDel="00000000" w:rsidP="00000000" w:rsidRDefault="00000000" w:rsidRPr="00000000" w14:paraId="0000018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Respuestas hechas al procedimiento, tanto de proveedores como de la misma entidad</w:t>
                </w:r>
              </w:p>
            </w:tc>
            <w:tc>
              <w:tcPr/>
              <w:p w:rsidR="00000000" w:rsidDel="00000000" w:rsidP="00000000" w:rsidRDefault="00000000" w:rsidRPr="00000000" w14:paraId="0000018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8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respuestas_externas</w:t>
                </w:r>
              </w:p>
            </w:tc>
            <w:tc>
              <w:tcPr/>
              <w:p w:rsidR="00000000" w:rsidDel="00000000" w:rsidP="00000000" w:rsidRDefault="00000000" w:rsidRPr="00000000" w14:paraId="0000018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Respuestas Externas</w:t>
                </w:r>
              </w:p>
            </w:tc>
            <w:tc>
              <w:tcPr/>
              <w:p w:rsidR="00000000" w:rsidDel="00000000" w:rsidP="00000000" w:rsidRDefault="00000000" w:rsidRPr="00000000" w14:paraId="0000018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 de Respuestas hechas por entes externos</w:t>
                </w:r>
              </w:p>
            </w:tc>
            <w:tc>
              <w:tcPr/>
              <w:p w:rsidR="00000000" w:rsidDel="00000000" w:rsidP="00000000" w:rsidRDefault="00000000" w:rsidRPr="00000000" w14:paraId="0000018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8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conteo_de_respuestas_a_ofertas</w:t>
                </w:r>
              </w:p>
            </w:tc>
            <w:tc>
              <w:tcPr/>
              <w:p w:rsidR="00000000" w:rsidDel="00000000" w:rsidP="00000000" w:rsidRDefault="00000000" w:rsidRPr="00000000" w14:paraId="0000018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Conteo de Respuestas a Ofertas</w:t>
                </w:r>
              </w:p>
            </w:tc>
            <w:tc>
              <w:tcPr/>
              <w:p w:rsidR="00000000" w:rsidDel="00000000" w:rsidP="00000000" w:rsidRDefault="00000000" w:rsidRPr="00000000" w14:paraId="0000018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 de Respuestas hechas de forma directa en las ofertas</w:t>
                </w:r>
              </w:p>
            </w:tc>
            <w:tc>
              <w:tcPr/>
              <w:p w:rsidR="00000000" w:rsidDel="00000000" w:rsidP="00000000" w:rsidRDefault="00000000" w:rsidRPr="00000000" w14:paraId="0000018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8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proveedores_unicos_con</w:t>
                </w:r>
              </w:p>
            </w:tc>
            <w:tc>
              <w:tcPr/>
              <w:p w:rsidR="00000000" w:rsidDel="00000000" w:rsidP="00000000" w:rsidRDefault="00000000" w:rsidRPr="00000000" w14:paraId="0000018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Unicos con Respuestas</w:t>
                </w:r>
              </w:p>
            </w:tc>
            <w:tc>
              <w:tcPr/>
              <w:p w:rsidR="00000000" w:rsidDel="00000000" w:rsidP="00000000" w:rsidRDefault="00000000" w:rsidRPr="00000000" w14:paraId="0000018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Proveedores Únicos que han redactado respuestas en el proceso</w:t>
                </w:r>
              </w:p>
            </w:tc>
            <w:tc>
              <w:tcPr/>
              <w:p w:rsidR="00000000" w:rsidDel="00000000" w:rsidP="00000000" w:rsidRDefault="00000000" w:rsidRPr="00000000" w14:paraId="0000019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9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numero_de_lotes</w:t>
                </w:r>
              </w:p>
            </w:tc>
            <w:tc>
              <w:tcPr/>
              <w:p w:rsidR="00000000" w:rsidDel="00000000" w:rsidP="00000000" w:rsidRDefault="00000000" w:rsidRPr="00000000" w14:paraId="0000019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Numero de Lotes</w:t>
                </w:r>
              </w:p>
            </w:tc>
            <w:tc>
              <w:tcPr/>
              <w:p w:rsidR="00000000" w:rsidDel="00000000" w:rsidP="00000000" w:rsidRDefault="00000000" w:rsidRPr="00000000" w14:paraId="0000019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 de lotes de articulos solicitados dentro del proceso</w:t>
                </w:r>
              </w:p>
            </w:tc>
            <w:tc>
              <w:tcPr/>
              <w:p w:rsidR="00000000" w:rsidDel="00000000" w:rsidP="00000000" w:rsidRDefault="00000000" w:rsidRPr="00000000" w14:paraId="0000019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9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estado_del_procedimiento</w:t>
                </w:r>
              </w:p>
            </w:tc>
            <w:tc>
              <w:tcPr/>
              <w:p w:rsidR="00000000" w:rsidDel="00000000" w:rsidP="00000000" w:rsidRDefault="00000000" w:rsidRPr="00000000" w14:paraId="0000019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 del Procedimiento</w:t>
                </w:r>
              </w:p>
            </w:tc>
            <w:tc>
              <w:tcPr/>
              <w:p w:rsidR="00000000" w:rsidDel="00000000" w:rsidP="00000000" w:rsidRDefault="00000000" w:rsidRPr="00000000" w14:paraId="0000019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 actual de desarrollo del procedimiento de compra pública</w:t>
                </w:r>
              </w:p>
            </w:tc>
            <w:tc>
              <w:tcPr/>
              <w:p w:rsidR="00000000" w:rsidDel="00000000" w:rsidP="00000000" w:rsidRDefault="00000000" w:rsidRPr="00000000" w14:paraId="0000019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9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id_estado_del_procedimiento</w:t>
                </w:r>
              </w:p>
            </w:tc>
            <w:tc>
              <w:tcPr/>
              <w:p w:rsidR="00000000" w:rsidDel="00000000" w:rsidP="00000000" w:rsidRDefault="00000000" w:rsidRPr="00000000" w14:paraId="0000019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 Estado del Procedimiento</w:t>
                </w:r>
              </w:p>
            </w:tc>
            <w:tc>
              <w:tcPr/>
              <w:p w:rsidR="00000000" w:rsidDel="00000000" w:rsidP="00000000" w:rsidRDefault="00000000" w:rsidRPr="00000000" w14:paraId="0000019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del Estado del procedimiento</w:t>
                </w:r>
              </w:p>
            </w:tc>
            <w:tc>
              <w:tcPr/>
              <w:p w:rsidR="00000000" w:rsidDel="00000000" w:rsidP="00000000" w:rsidRDefault="00000000" w:rsidRPr="00000000" w14:paraId="0000019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9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adjudicado</w:t>
                </w:r>
              </w:p>
            </w:tc>
            <w:tc>
              <w:tcPr/>
              <w:p w:rsidR="00000000" w:rsidDel="00000000" w:rsidP="00000000" w:rsidRDefault="00000000" w:rsidRPr="00000000" w14:paraId="0000019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Adjudicado</w:t>
                </w:r>
              </w:p>
            </w:tc>
            <w:tc>
              <w:tcPr/>
              <w:p w:rsidR="00000000" w:rsidDel="00000000" w:rsidP="00000000" w:rsidRDefault="00000000" w:rsidRPr="00000000" w14:paraId="0000019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Determina si el proceso fue adjudicado</w:t>
                </w:r>
              </w:p>
            </w:tc>
            <w:tc>
              <w:tcPr/>
              <w:p w:rsidR="00000000" w:rsidDel="00000000" w:rsidP="00000000" w:rsidRDefault="00000000" w:rsidRPr="00000000" w14:paraId="000001A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A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id_adjudicacion</w:t>
                </w:r>
              </w:p>
            </w:tc>
            <w:tc>
              <w:tcPr/>
              <w:p w:rsidR="00000000" w:rsidDel="00000000" w:rsidP="00000000" w:rsidRDefault="00000000" w:rsidRPr="00000000" w14:paraId="000001A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 Adjudicacion</w:t>
                </w:r>
              </w:p>
            </w:tc>
            <w:tc>
              <w:tcPr/>
              <w:p w:rsidR="00000000" w:rsidDel="00000000" w:rsidP="00000000" w:rsidRDefault="00000000" w:rsidRPr="00000000" w14:paraId="000001A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 la adjudicación</w:t>
                </w:r>
              </w:p>
            </w:tc>
            <w:tc>
              <w:tcPr/>
              <w:p w:rsidR="00000000" w:rsidDel="00000000" w:rsidP="00000000" w:rsidRDefault="00000000" w:rsidRPr="00000000" w14:paraId="000001A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A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codigoproveedor</w:t>
                </w:r>
              </w:p>
            </w:tc>
            <w:tc>
              <w:tcPr/>
              <w:p w:rsidR="00000000" w:rsidDel="00000000" w:rsidP="00000000" w:rsidRDefault="00000000" w:rsidRPr="00000000" w14:paraId="000001A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CodigoProveedor</w:t>
                </w:r>
              </w:p>
            </w:tc>
            <w:tc>
              <w:tcPr/>
              <w:p w:rsidR="00000000" w:rsidDel="00000000" w:rsidP="00000000" w:rsidRDefault="00000000" w:rsidRPr="00000000" w14:paraId="000001A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Código, en la plataforma, del proveedor adjudicado</w:t>
                </w:r>
              </w:p>
            </w:tc>
            <w:tc>
              <w:tcPr/>
              <w:p w:rsidR="00000000" w:rsidDel="00000000" w:rsidP="00000000" w:rsidRDefault="00000000" w:rsidRPr="00000000" w14:paraId="000001A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A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departamento_proveedor</w:t>
                </w:r>
              </w:p>
            </w:tc>
            <w:tc>
              <w:tcPr/>
              <w:p w:rsidR="00000000" w:rsidDel="00000000" w:rsidP="00000000" w:rsidRDefault="00000000" w:rsidRPr="00000000" w14:paraId="000001A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 Proveedor</w:t>
                </w:r>
              </w:p>
            </w:tc>
            <w:tc>
              <w:tcPr/>
              <w:p w:rsidR="00000000" w:rsidDel="00000000" w:rsidP="00000000" w:rsidRDefault="00000000" w:rsidRPr="00000000" w14:paraId="000001A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Departamento en el que está registrado el proveedor adjudicado</w:t>
                </w:r>
              </w:p>
            </w:tc>
            <w:tc>
              <w:tcPr/>
              <w:p w:rsidR="00000000" w:rsidDel="00000000" w:rsidP="00000000" w:rsidRDefault="00000000" w:rsidRPr="00000000" w14:paraId="000001A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A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ciudad_proveedor</w:t>
                </w:r>
              </w:p>
            </w:tc>
            <w:tc>
              <w:tcPr/>
              <w:p w:rsidR="00000000" w:rsidDel="00000000" w:rsidP="00000000" w:rsidRDefault="00000000" w:rsidRPr="00000000" w14:paraId="000001A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 Proveedor</w:t>
                </w:r>
              </w:p>
            </w:tc>
            <w:tc>
              <w:tcPr/>
              <w:p w:rsidR="00000000" w:rsidDel="00000000" w:rsidP="00000000" w:rsidRDefault="00000000" w:rsidRPr="00000000" w14:paraId="000001A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Ciudad en la que está registrado el proveedor adjudicado</w:t>
                </w:r>
              </w:p>
            </w:tc>
            <w:tc>
              <w:tcPr/>
              <w:p w:rsidR="00000000" w:rsidDel="00000000" w:rsidP="00000000" w:rsidRDefault="00000000" w:rsidRPr="00000000" w14:paraId="000001B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B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fecha_adjudicacion</w:t>
                </w:r>
              </w:p>
            </w:tc>
            <w:tc>
              <w:tcPr/>
              <w:p w:rsidR="00000000" w:rsidDel="00000000" w:rsidP="00000000" w:rsidRDefault="00000000" w:rsidRPr="00000000" w14:paraId="000001B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Adjudicacion</w:t>
                </w:r>
              </w:p>
            </w:tc>
            <w:tc>
              <w:tcPr/>
              <w:p w:rsidR="00000000" w:rsidDel="00000000" w:rsidP="00000000" w:rsidRDefault="00000000" w:rsidRPr="00000000" w14:paraId="000001B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 en la que se hizo la adjudicación del proceso para el proveedor seleccionado</w:t>
                </w:r>
              </w:p>
            </w:tc>
            <w:tc>
              <w:tcPr/>
              <w:p w:rsidR="00000000" w:rsidDel="00000000" w:rsidP="00000000" w:rsidRDefault="00000000" w:rsidRPr="00000000" w14:paraId="000001B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blHeader w:val="0"/>
            </w:trPr>
            <w:tc>
              <w:tcPr/>
              <w:p w:rsidR="00000000" w:rsidDel="00000000" w:rsidP="00000000" w:rsidRDefault="00000000" w:rsidRPr="00000000" w14:paraId="000001B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valor_total_adjudicacion</w:t>
                </w:r>
              </w:p>
            </w:tc>
            <w:tc>
              <w:tcPr/>
              <w:p w:rsidR="00000000" w:rsidDel="00000000" w:rsidP="00000000" w:rsidRDefault="00000000" w:rsidRPr="00000000" w14:paraId="000001B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Valor Total Adjudicacion</w:t>
                </w:r>
              </w:p>
            </w:tc>
            <w:tc>
              <w:tcPr/>
              <w:p w:rsidR="00000000" w:rsidDel="00000000" w:rsidP="00000000" w:rsidRDefault="00000000" w:rsidRPr="00000000" w14:paraId="000001B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Valor total Adjudicado</w:t>
                </w:r>
              </w:p>
            </w:tc>
            <w:tc>
              <w:tcPr/>
              <w:p w:rsidR="00000000" w:rsidDel="00000000" w:rsidP="00000000" w:rsidRDefault="00000000" w:rsidRPr="00000000" w14:paraId="000001B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B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nombre_del_adjudicador</w:t>
                </w:r>
              </w:p>
            </w:tc>
            <w:tc>
              <w:tcPr/>
              <w:p w:rsidR="00000000" w:rsidDel="00000000" w:rsidP="00000000" w:rsidRDefault="00000000" w:rsidRPr="00000000" w14:paraId="000001B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del Adjudicador</w:t>
                </w:r>
              </w:p>
            </w:tc>
            <w:tc>
              <w:tcPr/>
              <w:p w:rsidR="00000000" w:rsidDel="00000000" w:rsidP="00000000" w:rsidRDefault="00000000" w:rsidRPr="00000000" w14:paraId="000001B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del Usuario que ejecutó la accion de adjudicación</w:t>
                </w:r>
              </w:p>
            </w:tc>
            <w:tc>
              <w:tcPr/>
              <w:p w:rsidR="00000000" w:rsidDel="00000000" w:rsidP="00000000" w:rsidRDefault="00000000" w:rsidRPr="00000000" w14:paraId="000001B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rHeight w:val="424.98046875" w:hRule="atLeast"/>
              <w:tblHeader w:val="0"/>
            </w:trPr>
            <w:tc>
              <w:tcPr/>
              <w:p w:rsidR="00000000" w:rsidDel="00000000" w:rsidP="00000000" w:rsidRDefault="00000000" w:rsidRPr="00000000" w14:paraId="000001B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nombre_del_proveedor</w:t>
                </w:r>
              </w:p>
            </w:tc>
            <w:tc>
              <w:tcPr/>
              <w:p w:rsidR="00000000" w:rsidDel="00000000" w:rsidP="00000000" w:rsidRDefault="00000000" w:rsidRPr="00000000" w14:paraId="000001B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del Proveedor Adjudicado</w:t>
                </w:r>
              </w:p>
            </w:tc>
            <w:tc>
              <w:tcPr/>
              <w:p w:rsidR="00000000" w:rsidDel="00000000" w:rsidP="00000000" w:rsidRDefault="00000000" w:rsidRPr="00000000" w14:paraId="000001B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 del Proveedor Adjudicado</w:t>
                </w:r>
              </w:p>
            </w:tc>
            <w:tc>
              <w:tcPr/>
              <w:p w:rsidR="00000000" w:rsidDel="00000000" w:rsidP="00000000" w:rsidRDefault="00000000" w:rsidRPr="00000000" w14:paraId="000001C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C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nit_del_proveedor_adjudicado</w:t>
                </w:r>
              </w:p>
            </w:tc>
            <w:tc>
              <w:tcPr/>
              <w:p w:rsidR="00000000" w:rsidDel="00000000" w:rsidP="00000000" w:rsidRDefault="00000000" w:rsidRPr="00000000" w14:paraId="000001C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 del Proveedor Adjudicado</w:t>
                </w:r>
              </w:p>
            </w:tc>
            <w:tc>
              <w:tcPr/>
              <w:p w:rsidR="00000000" w:rsidDel="00000000" w:rsidP="00000000" w:rsidRDefault="00000000" w:rsidRPr="00000000" w14:paraId="000001C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NIT del Proveedor Adjudicado</w:t>
                </w:r>
              </w:p>
            </w:tc>
            <w:tc>
              <w:tcPr/>
              <w:p w:rsidR="00000000" w:rsidDel="00000000" w:rsidP="00000000" w:rsidRDefault="00000000" w:rsidRPr="00000000" w14:paraId="000001C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C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codigo_principal_de_categoria</w:t>
                </w:r>
              </w:p>
            </w:tc>
            <w:tc>
              <w:tcPr/>
              <w:p w:rsidR="00000000" w:rsidDel="00000000" w:rsidP="00000000" w:rsidRDefault="00000000" w:rsidRPr="00000000" w14:paraId="000001C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 Principal de Categoria</w:t>
                </w:r>
              </w:p>
            </w:tc>
            <w:tc>
              <w:tcPr/>
              <w:p w:rsidR="00000000" w:rsidDel="00000000" w:rsidP="00000000" w:rsidRDefault="00000000" w:rsidRPr="00000000" w14:paraId="000001C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 UNSPSC de la categoría principal del producto o servicio adquirido en proceso de compra</w:t>
                </w:r>
              </w:p>
            </w:tc>
            <w:tc>
              <w:tcPr/>
              <w:p w:rsidR="00000000" w:rsidDel="00000000" w:rsidP="00000000" w:rsidRDefault="00000000" w:rsidRPr="00000000" w14:paraId="000001C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C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estado_de_apertura_del_proceso</w:t>
                </w:r>
              </w:p>
            </w:tc>
            <w:tc>
              <w:tcPr/>
              <w:p w:rsidR="00000000" w:rsidDel="00000000" w:rsidP="00000000" w:rsidRDefault="00000000" w:rsidRPr="00000000" w14:paraId="000001C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 de Apertura del Proceso</w:t>
                </w:r>
              </w:p>
            </w:tc>
            <w:tc>
              <w:tcPr/>
              <w:p w:rsidR="00000000" w:rsidDel="00000000" w:rsidP="00000000" w:rsidRDefault="00000000" w:rsidRPr="00000000" w14:paraId="000001C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 actual de Apertura de información del proceso</w:t>
                </w:r>
              </w:p>
            </w:tc>
            <w:tc>
              <w:tcPr/>
              <w:p w:rsidR="00000000" w:rsidDel="00000000" w:rsidP="00000000" w:rsidRDefault="00000000" w:rsidRPr="00000000" w14:paraId="000001C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C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tipo_de_contrato</w:t>
                </w:r>
              </w:p>
            </w:tc>
            <w:tc>
              <w:tcPr/>
              <w:p w:rsidR="00000000" w:rsidDel="00000000" w:rsidP="00000000" w:rsidRDefault="00000000" w:rsidRPr="00000000" w14:paraId="000001C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Tipo de Contrato</w:t>
                </w:r>
              </w:p>
            </w:tc>
            <w:tc>
              <w:tcPr/>
              <w:p w:rsidR="00000000" w:rsidDel="00000000" w:rsidP="00000000" w:rsidRDefault="00000000" w:rsidRPr="00000000" w14:paraId="000001C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Tipo de Contrato definido para el proceso de compra</w:t>
                </w:r>
              </w:p>
            </w:tc>
            <w:tc>
              <w:tcPr/>
              <w:p w:rsidR="00000000" w:rsidDel="00000000" w:rsidP="00000000" w:rsidRDefault="00000000" w:rsidRPr="00000000" w14:paraId="000001D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D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subtipo_de_contrato</w:t>
                </w:r>
              </w:p>
            </w:tc>
            <w:tc>
              <w:tcPr/>
              <w:p w:rsidR="00000000" w:rsidDel="00000000" w:rsidP="00000000" w:rsidRDefault="00000000" w:rsidRPr="00000000" w14:paraId="000001D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Subtipo de Contrato</w:t>
                </w:r>
              </w:p>
            </w:tc>
            <w:tc>
              <w:tcPr/>
              <w:p w:rsidR="00000000" w:rsidDel="00000000" w:rsidP="00000000" w:rsidRDefault="00000000" w:rsidRPr="00000000" w14:paraId="000001D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Subtipo de Contrato definido para el proceso de compra</w:t>
                </w:r>
              </w:p>
            </w:tc>
            <w:tc>
              <w:tcPr/>
              <w:p w:rsidR="00000000" w:rsidDel="00000000" w:rsidP="00000000" w:rsidRDefault="00000000" w:rsidRPr="00000000" w14:paraId="000001D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D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categorias_adicionales</w:t>
                </w:r>
              </w:p>
            </w:tc>
            <w:tc>
              <w:tcPr/>
              <w:p w:rsidR="00000000" w:rsidDel="00000000" w:rsidP="00000000" w:rsidRDefault="00000000" w:rsidRPr="00000000" w14:paraId="000001D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Categorias Adicionales</w:t>
                </w:r>
              </w:p>
            </w:tc>
            <w:tc>
              <w:tcPr/>
              <w:p w:rsidR="00000000" w:rsidDel="00000000" w:rsidP="00000000" w:rsidRDefault="00000000" w:rsidRPr="00000000" w14:paraId="000001D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 las categorías UNSPSC adicionales, incluidas en el producto o servicio adquirido en proceso de compra</w:t>
                </w:r>
              </w:p>
            </w:tc>
            <w:tc>
              <w:tcPr/>
              <w:p w:rsidR="00000000" w:rsidDel="00000000" w:rsidP="00000000" w:rsidRDefault="00000000" w:rsidRPr="00000000" w14:paraId="000001D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blHeader w:val="0"/>
            </w:trPr>
            <w:tc>
              <w:tcPr/>
              <w:p w:rsidR="00000000" w:rsidDel="00000000" w:rsidP="00000000" w:rsidRDefault="00000000" w:rsidRPr="00000000" w14:paraId="000001D9">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urlproceso</w:t>
                </w:r>
              </w:p>
            </w:tc>
            <w:tc>
              <w:tcPr/>
              <w:p w:rsidR="00000000" w:rsidDel="00000000" w:rsidP="00000000" w:rsidRDefault="00000000" w:rsidRPr="00000000" w14:paraId="000001DA">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URLProceso</w:t>
                </w:r>
              </w:p>
            </w:tc>
            <w:tc>
              <w:tcPr/>
              <w:p w:rsidR="00000000" w:rsidDel="00000000" w:rsidP="00000000" w:rsidRDefault="00000000" w:rsidRPr="00000000" w14:paraId="000001DB">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URL, en la plataforma, en la que se puede consultar el proceso de compra</w:t>
                </w:r>
              </w:p>
            </w:tc>
            <w:tc>
              <w:tcPr/>
              <w:p w:rsidR="00000000" w:rsidDel="00000000" w:rsidP="00000000" w:rsidRDefault="00000000" w:rsidRPr="00000000" w14:paraId="000001DC">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URL</w:t>
                </w:r>
              </w:p>
            </w:tc>
          </w:tr>
          <w:tr>
            <w:trPr>
              <w:cantSplit w:val="0"/>
              <w:tblHeader w:val="0"/>
            </w:trPr>
            <w:tc>
              <w:tcPr/>
              <w:p w:rsidR="00000000" w:rsidDel="00000000" w:rsidP="00000000" w:rsidRDefault="00000000" w:rsidRPr="00000000" w14:paraId="000001DD">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codigo_entidad</w:t>
                </w:r>
              </w:p>
            </w:tc>
            <w:tc>
              <w:tcPr/>
              <w:p w:rsidR="00000000" w:rsidDel="00000000" w:rsidP="00000000" w:rsidRDefault="00000000" w:rsidRPr="00000000" w14:paraId="000001DE">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Codigo Entidad</w:t>
                </w:r>
              </w:p>
            </w:tc>
            <w:tc>
              <w:tcPr/>
              <w:p w:rsidR="00000000" w:rsidDel="00000000" w:rsidP="00000000" w:rsidRDefault="00000000" w:rsidRPr="00000000" w14:paraId="000001DF">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Código de la entidad en la plataforma SECOPII</w:t>
                </w:r>
              </w:p>
            </w:tc>
            <w:tc>
              <w:tcPr/>
              <w:p w:rsidR="00000000" w:rsidDel="00000000" w:rsidP="00000000" w:rsidRDefault="00000000" w:rsidRPr="00000000" w14:paraId="000001E0">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Número</w:t>
                </w:r>
              </w:p>
            </w:tc>
          </w:tr>
          <w:tr>
            <w:trPr>
              <w:cantSplit w:val="0"/>
              <w:tblHeader w:val="0"/>
            </w:trPr>
            <w:tc>
              <w:tcPr/>
              <w:p w:rsidR="00000000" w:rsidDel="00000000" w:rsidP="00000000" w:rsidRDefault="00000000" w:rsidRPr="00000000" w14:paraId="000001E1">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estado_resumen</w:t>
                </w:r>
              </w:p>
            </w:tc>
            <w:tc>
              <w:tcPr/>
              <w:p w:rsidR="00000000" w:rsidDel="00000000" w:rsidP="00000000" w:rsidRDefault="00000000" w:rsidRPr="00000000" w14:paraId="000001E2">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Estado Resumen</w:t>
                </w:r>
              </w:p>
            </w:tc>
            <w:tc>
              <w:tcPr/>
              <w:p w:rsidR="00000000" w:rsidDel="00000000" w:rsidP="00000000" w:rsidRDefault="00000000" w:rsidRPr="00000000" w14:paraId="000001E3">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Resumen del estado del proceso de compra pública</w:t>
                </w:r>
              </w:p>
            </w:tc>
            <w:tc>
              <w:tcPr/>
              <w:p w:rsidR="00000000" w:rsidDel="00000000" w:rsidP="00000000" w:rsidRDefault="00000000" w:rsidRPr="00000000" w14:paraId="000001E4">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r>
            <w:trPr>
              <w:cantSplit w:val="0"/>
              <w:trHeight w:val="293.96484375" w:hRule="atLeast"/>
              <w:tblHeader w:val="0"/>
            </w:trPr>
            <w:tc>
              <w:tcPr/>
              <w:p w:rsidR="00000000" w:rsidDel="00000000" w:rsidP="00000000" w:rsidRDefault="00000000" w:rsidRPr="00000000" w14:paraId="000001E5">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_ID</w:t>
                </w:r>
              </w:p>
            </w:tc>
            <w:tc>
              <w:tcPr/>
              <w:p w:rsidR="00000000" w:rsidDel="00000000" w:rsidP="00000000" w:rsidRDefault="00000000" w:rsidRPr="00000000" w14:paraId="000001E6">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w:t>
                </w:r>
              </w:p>
            </w:tc>
            <w:tc>
              <w:tcPr/>
              <w:p w:rsidR="00000000" w:rsidDel="00000000" w:rsidP="00000000" w:rsidRDefault="00000000" w:rsidRPr="00000000" w14:paraId="000001E7">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IDENTIFICADOR DE REGISTRO</w:t>
                </w:r>
              </w:p>
            </w:tc>
            <w:tc>
              <w:tcPr/>
              <w:p w:rsidR="00000000" w:rsidDel="00000000" w:rsidP="00000000" w:rsidRDefault="00000000" w:rsidRPr="00000000" w14:paraId="000001E8">
                <w:pPr>
                  <w:widowControl w:val="0"/>
                  <w:spacing w:after="0" w:line="240" w:lineRule="auto"/>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Texto</w:t>
                </w:r>
              </w:p>
            </w:tc>
          </w:tr>
        </w:tbl>
      </w:sdtContent>
    </w:sdt>
    <w:p w:rsidR="00000000" w:rsidDel="00000000" w:rsidP="00000000" w:rsidRDefault="00000000" w:rsidRPr="00000000" w14:paraId="000001E9">
      <w:pPr>
        <w:spacing w:after="240" w:before="240" w:lineRule="auto"/>
        <w:jc w:val="both"/>
        <w:rPr>
          <w:rFonts w:ascii="Arial" w:cs="Arial" w:eastAsia="Arial" w:hAnsi="Arial"/>
          <w:b w:val="1"/>
          <w:bCs w:val="1"/>
        </w:rPr>
      </w:pPr>
      <w:r w:rsidDel="00000000" w:rsidR="00000000" w:rsidRPr="00000000">
        <w:rPr>
          <w:rtl w:val="0"/>
        </w:rPr>
      </w:r>
    </w:p>
    <w:sectPr>
      <w:headerReference r:id="rId23" w:type="default"/>
      <w:footerReference r:id="rId24" w:type="default"/>
      <w:pgSz w:h="15840" w:w="12240" w:orient="portrait"/>
      <w:pgMar w:bottom="1417" w:top="1417" w:left="1700" w:right="1701"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B">
    <w:pP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4162425</wp:posOffset>
          </wp:positionH>
          <wp:positionV relativeFrom="paragraph">
            <wp:posOffset>0</wp:posOffset>
          </wp:positionV>
          <wp:extent cx="2046605" cy="516890"/>
          <wp:effectExtent b="0" l="0" r="0" t="0"/>
          <wp:wrapNone/>
          <wp:docPr descr="Diagrama, Texto&#10;&#10;Descripción generada automáticamente" id="1379944067" name="image9.png"/>
          <a:graphic>
            <a:graphicData uri="http://schemas.openxmlformats.org/drawingml/2006/picture">
              <pic:pic>
                <pic:nvPicPr>
                  <pic:cNvPr descr="Diagrama, Texto&#10;&#10;Descripción generada automáticamente" id="0" name="image9.png"/>
                  <pic:cNvPicPr preferRelativeResize="0"/>
                </pic:nvPicPr>
                <pic:blipFill>
                  <a:blip r:embed="rId1"/>
                  <a:srcRect b="0" l="0" r="0" t="0"/>
                  <a:stretch>
                    <a:fillRect/>
                  </a:stretch>
                </pic:blipFill>
                <pic:spPr>
                  <a:xfrm>
                    <a:off x="0" y="0"/>
                    <a:ext cx="2046605" cy="51689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-523873</wp:posOffset>
          </wp:positionH>
          <wp:positionV relativeFrom="paragraph">
            <wp:posOffset>-4760</wp:posOffset>
          </wp:positionV>
          <wp:extent cx="1476375" cy="523240"/>
          <wp:effectExtent b="0" l="0" r="0" t="0"/>
          <wp:wrapSquare wrapText="bothSides" distB="0" distT="0" distL="114300" distR="114300"/>
          <wp:docPr id="1379944060" name="image10.png"/>
          <a:graphic>
            <a:graphicData uri="http://schemas.openxmlformats.org/drawingml/2006/picture">
              <pic:pic>
                <pic:nvPicPr>
                  <pic:cNvPr id="0" name="image10.png"/>
                  <pic:cNvPicPr preferRelativeResize="0"/>
                </pic:nvPicPr>
                <pic:blipFill>
                  <a:blip r:embed="rId2"/>
                  <a:srcRect b="26050" l="11585" r="9829" t="24404"/>
                  <a:stretch>
                    <a:fillRect/>
                  </a:stretch>
                </pic:blipFill>
                <pic:spPr>
                  <a:xfrm>
                    <a:off x="0" y="0"/>
                    <a:ext cx="1476375" cy="52324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A">
    <w:pPr>
      <w:rPr>
        <w:rFonts w:ascii="Arial" w:cs="Arial" w:eastAsia="Arial" w:hAnsi="Arial"/>
        <w:color w:val="999999"/>
      </w:rPr>
    </w:pPr>
    <w:r w:rsidDel="00000000" w:rsidR="00000000" w:rsidRPr="00000000">
      <w:rPr>
        <w:rFonts w:ascii="Arial" w:cs="Arial" w:eastAsia="Arial" w:hAnsi="Arial"/>
        <w:color w:val="999999"/>
        <w:rtl w:val="0"/>
      </w:rPr>
      <w:t xml:space="preserve">Documento Técnico de Soporte - Situaciones de Análisis y Mejora en la Contratación del Distrito Capital</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rFonts w:ascii="Arial" w:cs="Arial" w:eastAsia="Arial" w:hAnsi="Arial"/>
        <w:b w:val="1"/>
        <w:bCs w:val="1"/>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6"/>
      <w:numFmt w:val="decimal"/>
      <w:lvlText w:val="%1."/>
      <w:lvlJc w:val="left"/>
      <w:pPr>
        <w:ind w:left="360" w:hanging="360"/>
      </w:pPr>
      <w:rPr/>
    </w:lvl>
    <w:lvl w:ilvl="1">
      <w:start w:val="4"/>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numbering" w:styleId="APA" w:customStyle="1">
    <w:name w:val="APA"/>
    <w:uiPriority w:val="99"/>
    <w:rsid w:val="006E3CB6"/>
  </w:style>
  <w:style w:type="paragraph" w:styleId="Prrafodelista">
    <w:name w:val="List Paragraph"/>
    <w:basedOn w:val="Normal"/>
    <w:uiPriority w:val="34"/>
    <w:qFormat w:val="1"/>
    <w:rsid w:val="00CA6C40"/>
    <w:pPr>
      <w:ind w:left="720"/>
      <w:contextualSpacing w:val="1"/>
    </w:pPr>
  </w:style>
  <w:style w:type="paragraph" w:styleId="NormalWeb">
    <w:name w:val="Normal (Web)"/>
    <w:basedOn w:val="Normal"/>
    <w:uiPriority w:val="99"/>
    <w:semiHidden w:val="1"/>
    <w:unhideWhenUsed w:val="1"/>
    <w:rsid w:val="00602EB5"/>
    <w:rPr>
      <w:rFonts w:ascii="Times New Roman" w:cs="Times New Roman" w:hAnsi="Times New Roman"/>
      <w:sz w:val="24"/>
      <w:szCs w:val="24"/>
    </w:rPr>
  </w:style>
  <w:style w:type="paragraph" w:styleId="Encabezado">
    <w:name w:val="header"/>
    <w:basedOn w:val="Normal"/>
    <w:link w:val="EncabezadoCar"/>
    <w:uiPriority w:val="99"/>
    <w:unhideWhenUsed w:val="1"/>
    <w:rsid w:val="001349C9"/>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1349C9"/>
  </w:style>
  <w:style w:type="paragraph" w:styleId="Piedepgina">
    <w:name w:val="footer"/>
    <w:basedOn w:val="Normal"/>
    <w:link w:val="PiedepginaCar"/>
    <w:uiPriority w:val="99"/>
    <w:unhideWhenUsed w:val="1"/>
    <w:rsid w:val="001349C9"/>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1349C9"/>
  </w:style>
  <w:style w:type="paragraph" w:styleId="Textonotapie">
    <w:name w:val="footnote text"/>
    <w:basedOn w:val="Normal"/>
    <w:link w:val="TextonotapieCar"/>
    <w:uiPriority w:val="99"/>
    <w:semiHidden w:val="1"/>
    <w:unhideWhenUsed w:val="1"/>
    <w:rsid w:val="001349C9"/>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1349C9"/>
    <w:rPr>
      <w:sz w:val="20"/>
      <w:szCs w:val="20"/>
    </w:rPr>
  </w:style>
  <w:style w:type="character" w:styleId="Refdenotaalpie">
    <w:name w:val="footnote reference"/>
    <w:basedOn w:val="Fuentedeprrafopredeter"/>
    <w:uiPriority w:val="99"/>
    <w:semiHidden w:val="1"/>
    <w:unhideWhenUsed w:val="1"/>
    <w:rsid w:val="001349C9"/>
    <w:rPr>
      <w:vertAlign w:val="superscript"/>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11" Type="http://schemas.openxmlformats.org/officeDocument/2006/relationships/image" Target="media/image7.png"/><Relationship Id="rId22" Type="http://schemas.openxmlformats.org/officeDocument/2006/relationships/image" Target="media/image12.png"/><Relationship Id="rId10" Type="http://schemas.openxmlformats.org/officeDocument/2006/relationships/image" Target="media/image4.png"/><Relationship Id="rId21" Type="http://schemas.openxmlformats.org/officeDocument/2006/relationships/image" Target="media/image16.png"/><Relationship Id="rId13" Type="http://schemas.openxmlformats.org/officeDocument/2006/relationships/image" Target="media/image8.png"/><Relationship Id="rId24" Type="http://schemas.openxmlformats.org/officeDocument/2006/relationships/footer" Target="footer1.xml"/><Relationship Id="rId12" Type="http://schemas.openxmlformats.org/officeDocument/2006/relationships/image" Target="media/image3.png"/><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15" Type="http://schemas.openxmlformats.org/officeDocument/2006/relationships/image" Target="media/image15.png"/><Relationship Id="rId14" Type="http://schemas.openxmlformats.org/officeDocument/2006/relationships/image" Target="media/image11.png"/><Relationship Id="rId17" Type="http://schemas.openxmlformats.org/officeDocument/2006/relationships/image" Target="media/image6.png"/><Relationship Id="rId16" Type="http://schemas.openxmlformats.org/officeDocument/2006/relationships/image" Target="media/image1.png"/><Relationship Id="rId5" Type="http://schemas.openxmlformats.org/officeDocument/2006/relationships/styles" Target="styles.xml"/><Relationship Id="rId19" Type="http://schemas.openxmlformats.org/officeDocument/2006/relationships/image" Target="media/image13.png"/><Relationship Id="rId6" Type="http://schemas.openxmlformats.org/officeDocument/2006/relationships/customXml" Target="../customXML/item1.xml"/><Relationship Id="rId18" Type="http://schemas.openxmlformats.org/officeDocument/2006/relationships/image" Target="media/image2.png"/><Relationship Id="rId7" Type="http://schemas.openxmlformats.org/officeDocument/2006/relationships/image" Target="media/image14.png"/><Relationship Id="rId8" Type="http://schemas.openxmlformats.org/officeDocument/2006/relationships/hyperlink" Target="http://www.secretariajuridica.gov.co"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ZM2t/7i9wG+XmW1dL3DfviVf8w==">CgMxLjAaHwoBMBIaChgICVIUChJ0YWJsZS5rZm1uNDk2cGZkcHI4AHIhMWZYMGlxR1hETnZKUlAxSVpQM2VoMWJmV3U4UmFLVFNF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2026-03-19T14:27:00Z</dcterms:created>
  <dc:creator>USUARIO</dc:creator>
</cp:coreProperties>
</file>